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87CA7">
      <w:pPr>
        <w:pStyle w:val="11"/>
        <w:tabs>
          <w:tab w:val="left" w:pos="851"/>
        </w:tabs>
        <w:spacing w:after="120"/>
        <w:rPr>
          <w:rFonts w:hint="default" w:ascii="Calibri" w:hAnsi="Calibri" w:cs="Calibri"/>
          <w:b/>
        </w:rPr>
      </w:pPr>
    </w:p>
    <w:p w14:paraId="6D92D7AD">
      <w:pPr>
        <w:pStyle w:val="11"/>
        <w:tabs>
          <w:tab w:val="left" w:pos="851"/>
        </w:tabs>
        <w:spacing w:after="120"/>
        <w:ind w:left="838"/>
        <w:rPr>
          <w:rFonts w:hint="default" w:ascii="Calibri" w:hAnsi="Calibri" w:cs="Calibri"/>
          <w:b/>
          <w:sz w:val="24"/>
          <w:szCs w:val="24"/>
        </w:rPr>
      </w:pPr>
      <w:r>
        <w:rPr>
          <w:rFonts w:hint="default" w:ascii="Calibri" w:hAnsi="Calibri" w:cs="Calibri"/>
          <w:sz w:val="22"/>
          <w:szCs w:val="22"/>
        </w:rPr>
        <w:drawing>
          <wp:anchor distT="152400" distB="152400" distL="152400" distR="152400" simplePos="0" relativeHeight="251659264" behindDoc="0" locked="0" layoutInCell="1" allowOverlap="1">
            <wp:simplePos x="0" y="0"/>
            <wp:positionH relativeFrom="page">
              <wp:posOffset>2657475</wp:posOffset>
            </wp:positionH>
            <wp:positionV relativeFrom="page">
              <wp:posOffset>48260</wp:posOffset>
            </wp:positionV>
            <wp:extent cx="2000250" cy="1181100"/>
            <wp:effectExtent l="0" t="0" r="0" b="0"/>
            <wp:wrapThrough wrapText="bothSides">
              <wp:wrapPolygon>
                <wp:start x="0" y="0"/>
                <wp:lineTo x="0" y="21252"/>
                <wp:lineTo x="21394" y="21252"/>
                <wp:lineTo x="21394" y="0"/>
                <wp:lineTo x="0" y="0"/>
              </wp:wrapPolygon>
            </wp:wrapThrough>
            <wp:docPr id="2" name="officeArt object" descr="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pasted-image.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00250" cy="1181100"/>
                    </a:xfrm>
                    <a:prstGeom prst="rect">
                      <a:avLst/>
                    </a:prstGeom>
                    <a:noFill/>
                    <a:ln>
                      <a:noFill/>
                    </a:ln>
                  </pic:spPr>
                </pic:pic>
              </a:graphicData>
            </a:graphic>
          </wp:anchor>
        </w:drawing>
      </w:r>
    </w:p>
    <w:p w14:paraId="0C8312D8">
      <w:pPr>
        <w:pStyle w:val="11"/>
        <w:tabs>
          <w:tab w:val="left" w:pos="851"/>
        </w:tabs>
        <w:spacing w:after="120"/>
        <w:rPr>
          <w:rFonts w:hint="default" w:ascii="Calibri" w:hAnsi="Calibri" w:cs="Calibri"/>
          <w:b/>
          <w:sz w:val="24"/>
          <w:szCs w:val="24"/>
        </w:rPr>
      </w:pPr>
      <w:bookmarkStart w:id="0" w:name="_GoBack"/>
      <w:bookmarkEnd w:id="0"/>
    </w:p>
    <w:p w14:paraId="6ADE682D">
      <w:pPr>
        <w:pStyle w:val="11"/>
        <w:tabs>
          <w:tab w:val="left" w:pos="851"/>
        </w:tabs>
        <w:spacing w:after="120"/>
        <w:rPr>
          <w:rFonts w:hint="default" w:ascii="Calibri" w:hAnsi="Calibri" w:cs="Calibri"/>
          <w:b/>
          <w:sz w:val="24"/>
          <w:szCs w:val="24"/>
        </w:rPr>
      </w:pPr>
    </w:p>
    <w:p w14:paraId="39AD2E4E">
      <w:pPr>
        <w:spacing w:line="360" w:lineRule="auto"/>
        <w:jc w:val="center"/>
        <w:rPr>
          <w:rFonts w:hint="default" w:ascii="Calibri" w:hAnsi="Calibri" w:eastAsia="Times New Roman" w:cs="Calibri"/>
          <w:b/>
          <w:color w:val="000000"/>
          <w:sz w:val="22"/>
          <w:szCs w:val="22"/>
          <w:u w:color="000000"/>
          <w:lang w:val="el-GR" w:eastAsia="el-GR"/>
        </w:rPr>
      </w:pPr>
      <w:r>
        <w:rPr>
          <w:rFonts w:hint="default" w:ascii="Calibri" w:hAnsi="Calibri" w:eastAsia="Times New Roman" w:cs="Calibri"/>
          <w:b/>
          <w:color w:val="000000"/>
          <w:sz w:val="22"/>
          <w:szCs w:val="22"/>
          <w:u w:color="000000"/>
          <w:lang w:val="el-GR" w:eastAsia="el-GR"/>
        </w:rPr>
        <w:t>Προς το Προεδρείο της Βουλής των Ελλήνων</w:t>
      </w:r>
    </w:p>
    <w:p w14:paraId="34F8086D">
      <w:pPr>
        <w:spacing w:line="360" w:lineRule="auto"/>
        <w:jc w:val="center"/>
        <w:rPr>
          <w:rFonts w:hint="default" w:ascii="Calibri" w:hAnsi="Calibri" w:eastAsia="Times New Roman" w:cs="Calibri"/>
          <w:b/>
          <w:color w:val="000000"/>
          <w:sz w:val="22"/>
          <w:szCs w:val="22"/>
          <w:u w:color="000000"/>
          <w:lang w:val="el-GR" w:eastAsia="el-GR"/>
        </w:rPr>
      </w:pPr>
      <w:r>
        <w:rPr>
          <w:rFonts w:hint="default" w:ascii="Calibri" w:hAnsi="Calibri" w:eastAsia="Times New Roman" w:cs="Calibri"/>
          <w:b/>
          <w:color w:val="000000"/>
          <w:sz w:val="22"/>
          <w:szCs w:val="22"/>
          <w:u w:color="000000"/>
          <w:lang w:val="el-GR" w:eastAsia="el-GR"/>
        </w:rPr>
        <w:t>ΑΝΑΦΟΡΑ</w:t>
      </w:r>
    </w:p>
    <w:p w14:paraId="62441A8A">
      <w:pPr>
        <w:spacing w:line="360" w:lineRule="auto"/>
        <w:ind w:left="360"/>
        <w:jc w:val="center"/>
        <w:rPr>
          <w:rFonts w:hint="default" w:ascii="Calibri" w:hAnsi="Calibri" w:cs="Calibri"/>
          <w:b/>
          <w:color w:val="auto"/>
          <w:sz w:val="22"/>
          <w:szCs w:val="22"/>
          <w:u w:color="000000"/>
          <w:lang w:val="en-US" w:eastAsia="el-GR"/>
        </w:rPr>
      </w:pPr>
      <w:r>
        <w:rPr>
          <w:rFonts w:hint="default" w:ascii="Calibri" w:hAnsi="Calibri" w:eastAsia="Times New Roman" w:cs="Calibri"/>
          <w:b/>
          <w:color w:val="auto"/>
          <w:sz w:val="22"/>
          <w:szCs w:val="22"/>
          <w:u w:color="000000"/>
          <w:lang w:val="el-GR" w:eastAsia="el-GR"/>
        </w:rPr>
        <w:t xml:space="preserve">Για την κ. </w:t>
      </w:r>
      <w:r>
        <w:rPr>
          <w:rFonts w:hint="default" w:ascii="Calibri" w:hAnsi="Calibri" w:cs="Calibri"/>
          <w:b/>
          <w:color w:val="auto"/>
          <w:sz w:val="22"/>
          <w:szCs w:val="22"/>
          <w:u w:color="000000"/>
          <w:lang w:val="el-GR" w:eastAsia="el-GR"/>
        </w:rPr>
        <w:t>Υπουργό</w:t>
      </w:r>
      <w:r>
        <w:rPr>
          <w:rFonts w:hint="default" w:ascii="Calibri" w:hAnsi="Calibri" w:cs="Calibri"/>
          <w:b/>
          <w:color w:val="auto"/>
          <w:sz w:val="22"/>
          <w:szCs w:val="22"/>
          <w:u w:color="000000"/>
          <w:lang w:val="en-US" w:eastAsia="el-GR"/>
        </w:rPr>
        <w:t xml:space="preserve"> Εργασίας &amp; Κοινωνικής Ασφαλίσης </w:t>
      </w:r>
    </w:p>
    <w:p w14:paraId="5CECD86C">
      <w:pPr>
        <w:tabs>
          <w:tab w:val="left" w:pos="1134"/>
        </w:tabs>
        <w:spacing w:after="120"/>
        <w:rPr>
          <w:rFonts w:hint="default" w:ascii="Calibri" w:hAnsi="Calibri" w:cs="Calibri"/>
          <w:b/>
          <w:bCs/>
          <w:sz w:val="24"/>
          <w:szCs w:val="24"/>
          <w:u w:val="single"/>
          <w:lang w:val="el-GR"/>
        </w:rPr>
      </w:pPr>
      <w:r>
        <w:rPr>
          <w:rFonts w:hint="default" w:ascii="Calibri" w:hAnsi="Calibri" w:cs="Calibri"/>
          <w:b/>
          <w:bCs/>
          <w:color w:val="auto"/>
          <w:sz w:val="22"/>
          <w:szCs w:val="22"/>
          <w:lang w:val="el-GR" w:eastAsia="el-GR"/>
        </w:rPr>
        <w:t>Θέμα:</w:t>
      </w:r>
      <w:r>
        <w:rPr>
          <w:rFonts w:hint="default" w:ascii="Calibri" w:hAnsi="Calibri" w:cs="Calibri"/>
          <w:b/>
          <w:bCs/>
          <w:color w:val="auto"/>
          <w:sz w:val="22"/>
          <w:szCs w:val="22"/>
          <w:lang w:val="en-US" w:eastAsia="el-GR"/>
        </w:rPr>
        <w:t xml:space="preserve"> </w:t>
      </w:r>
      <w:r>
        <w:rPr>
          <w:rFonts w:hint="default" w:ascii="Calibri" w:hAnsi="Calibri" w:cs="Calibri"/>
          <w:b/>
          <w:sz w:val="24"/>
          <w:szCs w:val="24"/>
        </w:rPr>
        <w:t xml:space="preserve"> </w:t>
      </w:r>
      <w:r>
        <w:rPr>
          <w:rFonts w:hint="default" w:ascii="Calibri" w:hAnsi="Calibri" w:cs="Calibri"/>
          <w:b/>
          <w:sz w:val="24"/>
          <w:szCs w:val="24"/>
          <w:lang w:val="el-GR"/>
        </w:rPr>
        <w:t>“</w:t>
      </w:r>
      <w:r>
        <w:rPr>
          <w:rFonts w:hint="default" w:ascii="Calibri" w:hAnsi="Calibri" w:cs="Calibri"/>
          <w:b/>
          <w:sz w:val="24"/>
          <w:szCs w:val="24"/>
          <w:u w:val="none"/>
        </w:rPr>
        <w:t>Αποδοχή αποφάσεων αναπηρίας των Ανώτατων Υγειονομικών Επιτροπών του Στρατού από τον ΕΦΚΑ</w:t>
      </w:r>
      <w:r>
        <w:rPr>
          <w:rFonts w:hint="default" w:ascii="Calibri" w:hAnsi="Calibri" w:cs="Calibri"/>
          <w:b/>
          <w:sz w:val="24"/>
          <w:szCs w:val="24"/>
          <w:u w:val="none"/>
          <w:lang w:val="el-GR"/>
        </w:rPr>
        <w:t xml:space="preserve">”. </w:t>
      </w:r>
    </w:p>
    <w:p w14:paraId="2C162E46">
      <w:pPr>
        <w:keepNext w:val="0"/>
        <w:keepLines w:val="0"/>
        <w:widowControl/>
        <w:suppressLineNumbers w:val="0"/>
        <w:spacing w:line="360" w:lineRule="auto"/>
        <w:jc w:val="both"/>
        <w:rPr>
          <w:rFonts w:hint="default" w:ascii="Calibri" w:hAnsi="Calibri" w:cs="Calibri"/>
          <w:b/>
          <w:bCs/>
          <w:color w:val="auto"/>
          <w:sz w:val="22"/>
          <w:szCs w:val="22"/>
          <w:lang w:val="en-US" w:eastAsia="el-GR"/>
        </w:rPr>
      </w:pPr>
    </w:p>
    <w:p w14:paraId="79692DD7">
      <w:pPr>
        <w:spacing w:line="360" w:lineRule="auto"/>
        <w:jc w:val="both"/>
        <w:rPr>
          <w:rFonts w:hint="default" w:ascii="Calibri" w:hAnsi="Calibri" w:eastAsia="SimSun" w:cs="Calibri"/>
          <w:b w:val="0"/>
          <w:bCs w:val="0"/>
          <w:color w:val="000000"/>
          <w:kern w:val="0"/>
          <w:sz w:val="22"/>
          <w:szCs w:val="22"/>
          <w:lang w:val="el-GR" w:eastAsia="zh-CN" w:bidi="ar"/>
        </w:rPr>
      </w:pPr>
      <w:r>
        <w:rPr>
          <w:rFonts w:hint="default" w:ascii="Calibri" w:hAnsi="Calibri" w:cs="Calibri"/>
          <w:color w:val="auto"/>
          <w:sz w:val="22"/>
          <w:szCs w:val="22"/>
          <w:lang w:val="el-GR"/>
        </w:rPr>
        <w:t xml:space="preserve">Ο Βουλευτής Λάρισας Κόκκαλης Βασίλειος καταθέτει προς τον κ. Υπουργό Εθνικής Άμυνας </w:t>
      </w:r>
      <w:r>
        <w:rPr>
          <w:rFonts w:hint="default" w:ascii="Calibri" w:hAnsi="Calibri" w:cs="Calibri"/>
          <w:b w:val="0"/>
          <w:bCs w:val="0"/>
          <w:color w:val="auto"/>
          <w:sz w:val="22"/>
          <w:szCs w:val="22"/>
          <w:lang w:val="el-GR"/>
        </w:rPr>
        <w:t>ως Αναφορά την με αριθμό πρωτ. 37/23-4-2025 επιστολή - υπόμνημα του Σωματείου Οικογενειών Ενόπλων Δυνάμεων, στο οποίο γίνεται εκτενής αναφορά στην ανάγκη της</w:t>
      </w:r>
      <w:r>
        <w:rPr>
          <w:rFonts w:hint="default" w:ascii="Calibri" w:hAnsi="Calibri" w:cs="Calibri"/>
          <w:b w:val="0"/>
          <w:bCs w:val="0"/>
          <w:sz w:val="22"/>
          <w:szCs w:val="22"/>
        </w:rPr>
        <w:t xml:space="preserve"> εναρμόνιση</w:t>
      </w:r>
      <w:r>
        <w:rPr>
          <w:rFonts w:hint="default" w:ascii="Calibri" w:hAnsi="Calibri" w:cs="Calibri"/>
          <w:b w:val="0"/>
          <w:bCs w:val="0"/>
          <w:sz w:val="22"/>
          <w:szCs w:val="22"/>
          <w:lang w:val="el-GR"/>
        </w:rPr>
        <w:t>ς</w:t>
      </w:r>
      <w:r>
        <w:rPr>
          <w:rFonts w:hint="default" w:ascii="Calibri" w:hAnsi="Calibri" w:cs="Calibri"/>
          <w:b w:val="0"/>
          <w:bCs w:val="0"/>
          <w:sz w:val="22"/>
          <w:szCs w:val="22"/>
        </w:rPr>
        <w:t xml:space="preserve"> του ΕΦΚΑ</w:t>
      </w:r>
      <w:r>
        <w:rPr>
          <w:rFonts w:hint="default" w:ascii="Calibri" w:hAnsi="Calibri" w:cs="Calibri"/>
          <w:b w:val="0"/>
          <w:bCs w:val="0"/>
          <w:sz w:val="22"/>
          <w:szCs w:val="22"/>
          <w:lang w:val="el-GR"/>
        </w:rPr>
        <w:t xml:space="preserve">, </w:t>
      </w:r>
      <w:r>
        <w:rPr>
          <w:rFonts w:hint="default" w:ascii="Calibri" w:hAnsi="Calibri" w:cs="Calibri"/>
          <w:b w:val="0"/>
          <w:bCs w:val="0"/>
          <w:sz w:val="22"/>
          <w:szCs w:val="22"/>
        </w:rPr>
        <w:t>ώστε να δέχεται τις ισχύουσες αποφάσεις πιστοποίησης αναπηρίας, παρελθουσών ετών, ατόμων με ποσοστό αναπηρίας 80% και άνω και χρονική ισχύ εφ΄όρου ζωής, οι οποίες εκδόθηκαν  από τις  Ανώτατες Υγειονομικές Επιτροπές του Στρατού (Α.Σ.Υ.Ε.) του Ναυτικού (Α.Ν.Υ.Ε.) και της Αεροπορίας (Α.Α.Υ.Ε.).</w:t>
      </w:r>
    </w:p>
    <w:p w14:paraId="2679187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uto"/>
        <w:ind w:left="0" w:right="0" w:firstLine="0"/>
        <w:jc w:val="both"/>
        <w:rPr>
          <w:rFonts w:hint="default" w:ascii="Calibri" w:hAnsi="Calibri" w:cs="Calibri"/>
          <w:b w:val="0"/>
          <w:bCs w:val="0"/>
          <w:sz w:val="22"/>
          <w:szCs w:val="22"/>
          <w:lang w:val="el-GR"/>
        </w:rPr>
      </w:pPr>
      <w:r>
        <w:rPr>
          <w:rFonts w:hint="default" w:ascii="Calibri" w:hAnsi="Calibri" w:cs="Calibri"/>
          <w:b w:val="0"/>
          <w:bCs w:val="0"/>
          <w:sz w:val="22"/>
          <w:szCs w:val="22"/>
          <w:lang w:val="el-GR"/>
        </w:rPr>
        <w:t xml:space="preserve">Επισυνάπτεται το σχετικό υπόμνημα. </w:t>
      </w:r>
    </w:p>
    <w:p w14:paraId="384F953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uto"/>
        <w:ind w:left="0" w:right="0" w:firstLine="0"/>
        <w:jc w:val="both"/>
        <w:rPr>
          <w:rFonts w:hint="default" w:ascii="Calibri" w:hAnsi="Calibri" w:cs="Calibri"/>
          <w:b w:val="0"/>
          <w:bCs w:val="0"/>
          <w:sz w:val="22"/>
          <w:szCs w:val="22"/>
        </w:rPr>
      </w:pPr>
      <w:r>
        <w:rPr>
          <w:rFonts w:hint="default" w:ascii="Calibri" w:hAnsi="Calibri" w:cs="Calibri"/>
          <w:b w:val="0"/>
          <w:bCs w:val="0"/>
          <w:sz w:val="22"/>
          <w:szCs w:val="22"/>
        </w:rPr>
        <w:t xml:space="preserve">Παρακαλούμε για τις άμεσες και δέουσες ενέργειες του Υπουργείου για την άμεση επίλυση και δρομολόγηση των ανωτέρων και σχετική ενημέρωση μας. </w:t>
      </w:r>
    </w:p>
    <w:p w14:paraId="1A2B7460">
      <w:pPr>
        <w:pStyle w:val="14"/>
        <w:spacing w:after="120" w:line="360" w:lineRule="auto"/>
        <w:ind w:left="5040" w:firstLine="720"/>
        <w:jc w:val="both"/>
        <w:rPr>
          <w:rFonts w:hint="default" w:ascii="Calibri" w:hAnsi="Calibri" w:cs="Calibri"/>
          <w:b/>
          <w:bCs/>
          <w:iCs/>
          <w:color w:val="auto"/>
          <w:sz w:val="22"/>
          <w:szCs w:val="22"/>
          <w:lang w:val="el-GR"/>
        </w:rPr>
      </w:pPr>
      <w:r>
        <w:rPr>
          <w:rFonts w:hint="default" w:ascii="Calibri" w:hAnsi="Calibri" w:cs="Calibri"/>
          <w:b/>
          <w:bCs/>
          <w:iCs/>
          <w:color w:val="auto"/>
          <w:sz w:val="22"/>
          <w:szCs w:val="22"/>
        </w:rPr>
        <w:t xml:space="preserve">Αθήνα,  </w:t>
      </w:r>
      <w:r>
        <w:rPr>
          <w:rFonts w:hint="default" w:ascii="Calibri" w:hAnsi="Calibri" w:cs="Calibri"/>
          <w:b/>
          <w:bCs/>
          <w:iCs/>
          <w:color w:val="auto"/>
          <w:sz w:val="22"/>
          <w:szCs w:val="22"/>
          <w:lang w:val="el-GR"/>
        </w:rPr>
        <w:t xml:space="preserve">24 Απριλίου 2025 </w:t>
      </w:r>
    </w:p>
    <w:p w14:paraId="6243F7DE">
      <w:pPr>
        <w:pStyle w:val="9"/>
        <w:shd w:val="clear" w:color="auto" w:fill="FFFFFF"/>
        <w:spacing w:before="0" w:beforeAutospacing="0" w:after="120" w:afterAutospacing="0" w:line="360" w:lineRule="auto"/>
        <w:ind w:left="3600"/>
        <w:jc w:val="both"/>
        <w:rPr>
          <w:rFonts w:hint="default" w:ascii="Calibri" w:hAnsi="Calibri" w:cs="Calibri"/>
          <w:b/>
          <w:bCs/>
          <w:sz w:val="22"/>
          <w:szCs w:val="22"/>
        </w:rPr>
      </w:pPr>
      <w:r>
        <w:rPr>
          <w:rFonts w:hint="default" w:ascii="Calibri" w:hAnsi="Calibri" w:cs="Calibri"/>
          <w:b/>
          <w:bCs/>
          <w:sz w:val="22"/>
          <w:szCs w:val="22"/>
        </w:rPr>
        <w:t>Ο καταθέτων Βουλευτής</w:t>
      </w:r>
    </w:p>
    <w:p w14:paraId="4199B5C4">
      <w:pPr>
        <w:pStyle w:val="9"/>
        <w:shd w:val="clear" w:color="auto" w:fill="FFFFFF"/>
        <w:spacing w:before="0" w:beforeAutospacing="0" w:after="120" w:afterAutospacing="0" w:line="360" w:lineRule="auto"/>
        <w:ind w:left="3600" w:firstLine="220" w:firstLineChars="100"/>
        <w:jc w:val="both"/>
        <w:rPr>
          <w:rFonts w:hint="default" w:ascii="Calibri" w:hAnsi="Calibri" w:cs="Calibri"/>
          <w:b/>
          <w:bCs/>
          <w:color w:val="auto"/>
          <w:sz w:val="22"/>
          <w:szCs w:val="22"/>
          <w:lang w:val="el-GR"/>
        </w:rPr>
      </w:pPr>
      <w:r>
        <w:rPr>
          <w:rFonts w:hint="default" w:ascii="Calibri" w:hAnsi="Calibri" w:cs="Calibri"/>
          <w:b/>
          <w:bCs/>
          <w:color w:val="auto"/>
          <w:sz w:val="22"/>
          <w:szCs w:val="22"/>
          <w:lang w:val="el-GR"/>
        </w:rPr>
        <w:t>Κόκκαλης Βασίλειος</w:t>
      </w:r>
    </w:p>
    <w:p w14:paraId="344F4AF0">
      <w:pPr>
        <w:pStyle w:val="11"/>
        <w:tabs>
          <w:tab w:val="left" w:pos="851"/>
        </w:tabs>
        <w:spacing w:after="120"/>
        <w:rPr>
          <w:rFonts w:hint="default" w:ascii="Calibri" w:hAnsi="Calibri" w:cs="Calibri"/>
          <w:b/>
          <w:sz w:val="24"/>
          <w:szCs w:val="24"/>
        </w:rPr>
      </w:pPr>
    </w:p>
    <w:p w14:paraId="5B455F87">
      <w:pPr>
        <w:pStyle w:val="11"/>
        <w:tabs>
          <w:tab w:val="left" w:pos="851"/>
        </w:tabs>
        <w:spacing w:after="120"/>
        <w:rPr>
          <w:rFonts w:hint="default" w:ascii="Calibri" w:hAnsi="Calibri" w:cs="Calibri"/>
          <w:b/>
          <w:sz w:val="24"/>
          <w:szCs w:val="24"/>
        </w:rPr>
      </w:pPr>
    </w:p>
    <w:p w14:paraId="795282F8">
      <w:pPr>
        <w:pStyle w:val="11"/>
        <w:tabs>
          <w:tab w:val="left" w:pos="851"/>
        </w:tabs>
        <w:spacing w:after="120"/>
        <w:rPr>
          <w:rFonts w:hint="default" w:ascii="Calibri" w:hAnsi="Calibri" w:cs="Calibri"/>
          <w:b/>
          <w:sz w:val="24"/>
          <w:szCs w:val="24"/>
        </w:rPr>
      </w:pPr>
    </w:p>
    <w:p w14:paraId="1AD660DC">
      <w:pPr>
        <w:pStyle w:val="11"/>
        <w:tabs>
          <w:tab w:val="left" w:pos="851"/>
        </w:tabs>
        <w:spacing w:after="120"/>
        <w:rPr>
          <w:rFonts w:hint="default" w:ascii="Calibri" w:hAnsi="Calibri" w:cs="Calibri"/>
          <w:b/>
          <w:sz w:val="24"/>
          <w:szCs w:val="24"/>
        </w:rPr>
      </w:pPr>
    </w:p>
    <w:p w14:paraId="1AC09C5E">
      <w:pPr>
        <w:pStyle w:val="11"/>
        <w:tabs>
          <w:tab w:val="left" w:pos="851"/>
        </w:tabs>
        <w:spacing w:after="120"/>
        <w:rPr>
          <w:rFonts w:hint="default" w:ascii="Calibri" w:hAnsi="Calibri" w:cs="Calibri"/>
          <w:b/>
          <w:sz w:val="24"/>
          <w:szCs w:val="24"/>
        </w:rPr>
      </w:pPr>
    </w:p>
    <w:p w14:paraId="01206459">
      <w:pPr>
        <w:pStyle w:val="11"/>
        <w:tabs>
          <w:tab w:val="left" w:pos="851"/>
        </w:tabs>
        <w:spacing w:after="120"/>
        <w:rPr>
          <w:rFonts w:hint="default" w:ascii="Calibri" w:hAnsi="Calibri" w:cs="Calibri"/>
          <w:b/>
          <w:sz w:val="24"/>
          <w:szCs w:val="24"/>
        </w:rPr>
      </w:pPr>
    </w:p>
    <w:p w14:paraId="3568ECDA">
      <w:pPr>
        <w:pStyle w:val="11"/>
        <w:tabs>
          <w:tab w:val="left" w:pos="851"/>
        </w:tabs>
        <w:spacing w:after="120"/>
        <w:rPr>
          <w:rFonts w:hint="default" w:ascii="Calibri" w:hAnsi="Calibri" w:cs="Calibri"/>
          <w:b/>
          <w:sz w:val="24"/>
          <w:szCs w:val="24"/>
        </w:rPr>
      </w:pPr>
    </w:p>
    <w:p w14:paraId="5F819AC0">
      <w:pPr>
        <w:tabs>
          <w:tab w:val="left" w:pos="1134"/>
        </w:tabs>
        <w:spacing w:after="120"/>
        <w:rPr>
          <w:rFonts w:hint="default" w:ascii="Calibri" w:hAnsi="Calibri" w:cs="Calibri"/>
          <w:b/>
          <w:bCs/>
          <w:sz w:val="24"/>
          <w:szCs w:val="24"/>
          <w:u w:val="single"/>
        </w:rPr>
      </w:pPr>
      <w:r>
        <w:rPr>
          <w:rFonts w:hint="default" w:ascii="Calibri" w:hAnsi="Calibri" w:cs="Calibri"/>
          <w:b/>
          <w:sz w:val="24"/>
          <w:szCs w:val="24"/>
        </w:rPr>
        <w:tab/>
      </w:r>
      <w:r>
        <w:rPr>
          <w:rFonts w:hint="default" w:ascii="Calibri" w:hAnsi="Calibri" w:cs="Calibri"/>
          <w:b/>
          <w:sz w:val="24"/>
          <w:szCs w:val="24"/>
        </w:rPr>
        <w:tab/>
      </w:r>
      <w:r>
        <w:rPr>
          <w:rFonts w:hint="default" w:ascii="Calibri" w:hAnsi="Calibri" w:cs="Calibri"/>
          <w:b/>
          <w:sz w:val="24"/>
          <w:szCs w:val="24"/>
        </w:rPr>
        <w:tab/>
      </w:r>
      <w:r>
        <w:rPr>
          <w:rFonts w:hint="default" w:ascii="Calibri" w:hAnsi="Calibri" w:cs="Calibri"/>
          <w:b/>
          <w:sz w:val="24"/>
          <w:szCs w:val="24"/>
        </w:rPr>
        <w:tab/>
      </w:r>
      <w:r>
        <w:rPr>
          <w:rFonts w:hint="default" w:ascii="Calibri" w:hAnsi="Calibri" w:cs="Calibri"/>
          <w:b/>
          <w:sz w:val="24"/>
          <w:szCs w:val="24"/>
        </w:rPr>
        <w:tab/>
      </w:r>
      <w:r>
        <w:rPr>
          <w:rFonts w:hint="default" w:ascii="Calibri" w:hAnsi="Calibri" w:cs="Calibri"/>
          <w:b/>
          <w:sz w:val="24"/>
          <w:szCs w:val="24"/>
        </w:rPr>
        <w:tab/>
      </w:r>
      <w:r>
        <w:rPr>
          <w:rFonts w:hint="default" w:ascii="Calibri" w:hAnsi="Calibri" w:cs="Calibri"/>
          <w:b/>
          <w:sz w:val="24"/>
          <w:szCs w:val="24"/>
        </w:rPr>
        <w:tab/>
      </w:r>
      <w:r>
        <w:rPr>
          <w:rFonts w:hint="default" w:ascii="Calibri" w:hAnsi="Calibri" w:cs="Calibri"/>
          <w:b/>
          <w:sz w:val="24"/>
          <w:szCs w:val="24"/>
        </w:rPr>
        <w:tab/>
      </w:r>
    </w:p>
    <w:p w14:paraId="0745DBA8">
      <w:pPr>
        <w:tabs>
          <w:tab w:val="left" w:pos="1134"/>
        </w:tabs>
        <w:autoSpaceDE w:val="0"/>
        <w:autoSpaceDN w:val="0"/>
        <w:adjustRightInd w:val="0"/>
        <w:spacing w:after="0" w:line="240" w:lineRule="auto"/>
        <w:jc w:val="both"/>
        <w:rPr>
          <w:rFonts w:hint="default" w:ascii="Calibri" w:hAnsi="Calibri" w:cs="Calibri"/>
          <w:b/>
          <w:bCs/>
          <w:sz w:val="24"/>
          <w:szCs w:val="24"/>
        </w:rPr>
      </w:pPr>
      <w:r>
        <w:rPr>
          <w:rFonts w:hint="default" w:ascii="Calibri" w:hAnsi="Calibri" w:cs="Calibri"/>
          <w:b/>
          <w:bCs/>
          <w:sz w:val="24"/>
          <w:szCs w:val="24"/>
        </w:rPr>
        <w:t xml:space="preserve">                </w:t>
      </w:r>
    </w:p>
    <w:p w14:paraId="02016000">
      <w:pPr>
        <w:tabs>
          <w:tab w:val="left" w:pos="1134"/>
        </w:tabs>
        <w:autoSpaceDE w:val="0"/>
        <w:autoSpaceDN w:val="0"/>
        <w:adjustRightInd w:val="0"/>
        <w:spacing w:after="0" w:line="240" w:lineRule="auto"/>
        <w:jc w:val="both"/>
        <w:rPr>
          <w:rFonts w:hint="default" w:ascii="Calibri" w:hAnsi="Calibri" w:cs="Calibri"/>
          <w:b/>
          <w:bCs/>
          <w:sz w:val="24"/>
          <w:szCs w:val="24"/>
          <w:u w:val="single"/>
        </w:rPr>
      </w:pPr>
    </w:p>
    <w:p w14:paraId="1E5653AA">
      <w:pPr>
        <w:jc w:val="both"/>
        <w:rPr>
          <w:rFonts w:hint="default" w:ascii="Calibri" w:hAnsi="Calibri" w:cs="Calibri"/>
          <w:b/>
          <w:sz w:val="24"/>
          <w:szCs w:val="24"/>
        </w:rPr>
      </w:pPr>
      <w:r>
        <w:rPr>
          <w:rFonts w:hint="default" w:ascii="Calibri" w:hAnsi="Calibri" w:cs="Calibri"/>
          <w:bCs/>
          <w:sz w:val="24"/>
          <w:szCs w:val="24"/>
        </w:rPr>
        <w:t xml:space="preserve">         </w:t>
      </w:r>
      <w:r>
        <w:rPr>
          <w:rFonts w:hint="default" w:ascii="Calibri" w:hAnsi="Calibri" w:cs="Calibri"/>
          <w:b/>
          <w:sz w:val="24"/>
          <w:szCs w:val="24"/>
        </w:rPr>
        <w:t xml:space="preserve"> Οι Στρατιωτικοί  υπάγονται για τη διάγνωση της μορφής, και του ποσοστού αναπηρίας τους στην αρμοδιότητα των Ανωτάτων Υγειονομικών Επιτροπών του Στρατού (Α.Σ.Υ.Ε.) του Ναυτικού (Α.Ν.Υ.Ε.) και της Αεροπορίας (Α.Α.Υ.Ε.) οι οποίες διατηρήθηκαν σε ισχύ σύμφωνα με τις διατάξεις του άρθρου 6 παρ. 7 του Ν.3863/2010 σε συνδυασμό με τις διατάξεις του π.δ. 169/2007.</w:t>
      </w:r>
    </w:p>
    <w:p w14:paraId="2A54C381">
      <w:pPr>
        <w:jc w:val="both"/>
        <w:rPr>
          <w:rFonts w:hint="default" w:ascii="Calibri" w:hAnsi="Calibri" w:cs="Calibri"/>
          <w:b/>
          <w:sz w:val="24"/>
          <w:szCs w:val="24"/>
        </w:rPr>
      </w:pPr>
      <w:r>
        <w:rPr>
          <w:rFonts w:hint="default" w:ascii="Calibri" w:hAnsi="Calibri" w:cs="Calibri"/>
          <w:b/>
          <w:sz w:val="24"/>
          <w:szCs w:val="24"/>
        </w:rPr>
        <w:t xml:space="preserve">Σύμφωνα με το Ν.3996/2011 ο οποίος είναι μεταγενέστερος των ανωτέρων διατάξεων, σύζυγοι Στρατιωτικών,  που συνταξιοδοτούνται με ποσοστό αναπηρίας 80% και άνω, δικαιούνται σύνταξη γήρατος με τις ειδικές προϋποθέσεις των συζύγων αναπήρων. </w:t>
      </w:r>
    </w:p>
    <w:p w14:paraId="49C99B30">
      <w:pPr>
        <w:jc w:val="both"/>
        <w:rPr>
          <w:rFonts w:hint="default" w:ascii="Calibri" w:hAnsi="Calibri" w:cs="Calibri"/>
          <w:b/>
          <w:sz w:val="24"/>
          <w:szCs w:val="24"/>
        </w:rPr>
      </w:pPr>
      <w:r>
        <w:rPr>
          <w:rFonts w:hint="default" w:ascii="Calibri" w:hAnsi="Calibri" w:cs="Calibri"/>
          <w:b/>
          <w:sz w:val="24"/>
          <w:szCs w:val="24"/>
        </w:rPr>
        <w:t xml:space="preserve">Καθώς οι διατάξεις, του άρθρου 6 παρ. 7 του Ν.3863/2010 και του π.δ. 169/2007 είναι προγενέστερες του Ν.3996/2011 και ο νομοθέτης ήθελε να θέσει ειδικότερη  ρύθμιση λόγω της επιγενόμενης έναρξης λειτουργίας των ΚΕΠΑ αναφορικά με τον τρόπο πιστοποίησης της αναπηρίας των συνταξιούχων Στρατιωτικών και  των δικαιούχων σύνταξης γήρατος συζύγων τους, με τις ειδικές προϋποθέσεις των συζύγων αναπήρων, θα το είχε πράξει με τις διατάξεις του Ν.3996/2011. </w:t>
      </w:r>
    </w:p>
    <w:p w14:paraId="4184E093">
      <w:pPr>
        <w:jc w:val="both"/>
        <w:rPr>
          <w:rFonts w:hint="default" w:ascii="Calibri" w:hAnsi="Calibri" w:cs="Calibri"/>
          <w:b/>
          <w:sz w:val="24"/>
          <w:szCs w:val="24"/>
        </w:rPr>
      </w:pPr>
      <w:r>
        <w:rPr>
          <w:rFonts w:hint="default" w:ascii="Calibri" w:hAnsi="Calibri" w:cs="Calibri"/>
          <w:b/>
          <w:sz w:val="24"/>
          <w:szCs w:val="24"/>
        </w:rPr>
        <w:t>Ειδικότερα, δεν  φαίνεται στις εν λόγω διατάξεις ειδική πρόβλεψη ότι η αναπηρία των συζύγων των δικαιούχων σύνταξης λόγω γήρατος θα πρέπει να πιστοποιείται αποκλειστικά από Υγειονομική Επιτροπή ΚΕΠΑ ,παρόλο που οι ανάπηροι σύζυγοι υπάγονται στην ειδική αρμοδιότητα Υγειονομικών Επιτροπών που παρέμειναν σε ισχύ μετά την έναρξη λειτουργίας του ΚΕΠΑ  (Α.Σ.Υ.Ε.-Α.Ν.Υ.Ε.-Α.Α.Υ.Ε.).</w:t>
      </w:r>
    </w:p>
    <w:p w14:paraId="47C7B985">
      <w:pPr>
        <w:jc w:val="both"/>
        <w:rPr>
          <w:rFonts w:hint="default" w:ascii="Calibri" w:hAnsi="Calibri" w:cs="Calibri"/>
          <w:b/>
          <w:sz w:val="24"/>
          <w:szCs w:val="24"/>
        </w:rPr>
      </w:pPr>
      <w:r>
        <w:rPr>
          <w:rFonts w:hint="default" w:ascii="Calibri" w:hAnsi="Calibri" w:cs="Calibri"/>
          <w:b/>
          <w:sz w:val="24"/>
          <w:szCs w:val="24"/>
        </w:rPr>
        <w:t>Σύμφωνα με το άρθρο 37 του Ν. 3996/2011 οι σύζυγοι των εν λόγω αναπήρων, που είναι ασφαλισμένοι σε φορείς κύριας και επικουρικής ασφάλισης αρμοδιότητας του Υπουργείου Εργασίας και Κοινωνικής Ασφάλισης, θεμελιώνουν δικαίωμα συνταξιοδότησης με τη συμπλήρωση 7.500 ημερών εργασίας ή 25 ετών πραγματικής ασφάλισης, ανεξαρτήτως ορίου ηλικίας και ανεξαρτήτως χρόνου υπαγωγής στην ασφάλιση, με τις ειδικές προϋποθέσεις ως σύζυγοι αναπήρων και σε συνδυασμό με το Ν.4336/2015 και την Υπουργική Απόφαση με Αρ.Πρωτ. Φ11321/οικ.47523/1570/23-10-2015 (Σταδιακή αύξηση των ορίων ηλικίας συνταξιοδότησης).</w:t>
      </w:r>
    </w:p>
    <w:p w14:paraId="6D8EFF01">
      <w:pPr>
        <w:jc w:val="both"/>
        <w:rPr>
          <w:rFonts w:hint="default" w:ascii="Calibri" w:hAnsi="Calibri" w:cs="Calibri"/>
          <w:b/>
          <w:sz w:val="24"/>
          <w:szCs w:val="24"/>
        </w:rPr>
      </w:pPr>
      <w:r>
        <w:rPr>
          <w:rFonts w:hint="default" w:ascii="Calibri" w:hAnsi="Calibri" w:cs="Calibri"/>
          <w:b/>
          <w:sz w:val="24"/>
          <w:szCs w:val="24"/>
        </w:rPr>
        <w:t>Σημειώνεται ότι προϋπόθεση για τη χορήγηση σύνταξης λόγω γήρατος σε συζύγους συνταξιούχων αναπήρων με ειδικές προϋποθέσεις δεν είναι ο συνταξιούχος σύζυγος να είναι ασφαλισμένος σε φορέα κοινωνικής ασφάλισης, οπότε η αναπηρία του θα πρέπει να έχει πιστοποιηθεί από υγειονομική επιτροπή ΚΕΠΑ, αλλά μπορεί να είναι συνταξιούχος του Δημοσίου που η πιστοποίηση της αναπηρίας του εμπίπτει στις αρμοδιότητες της Α.Σ.Υ.Ε.</w:t>
      </w:r>
    </w:p>
    <w:p w14:paraId="6DA54B6C">
      <w:pPr>
        <w:jc w:val="both"/>
        <w:rPr>
          <w:rFonts w:hint="default" w:ascii="Calibri" w:hAnsi="Calibri" w:cs="Calibri"/>
          <w:b/>
          <w:sz w:val="24"/>
          <w:szCs w:val="24"/>
        </w:rPr>
      </w:pPr>
      <w:r>
        <w:rPr>
          <w:rFonts w:hint="default" w:ascii="Calibri" w:hAnsi="Calibri" w:cs="Calibri"/>
          <w:b/>
          <w:sz w:val="24"/>
          <w:szCs w:val="24"/>
        </w:rPr>
        <w:t>Οι αποφάσεις των Ανωτάτων Υγειονομικών Επιτροπών, Στρατού (Α.Σ.Υ.Ε.),  Ναυτικού (Α.Ν.Υ.Ε.) και  Αεροπορίας (Α.Α.Υ.Ε.) σύμφωνα με την κείμενη Νομοθεσία είναι  απολύτως ισοδύναμες με αυτές των  Κ.Ε.Π.Α, είναι πλήρεις καθώς εκδίδονται βάσει του  Νέου Ενιαίου Κανονισμού πιστοποίησης αναπηρίας (ΦΕΚ 2611 Β΄ 8/11/2011), γίνονται υποχρεωτικά δεκτές και είναι δεσμευτικές για όλους τους ασφαλιστικούς φορείς και υπηρεσίες του Δημοσίου και Ν.Π.Δ.Δ. και χρησιμοποιούνται για κάθε  χρήση, ανεξάρτητα από την αιτία της έκδοσής τους, όπως για απονομή σύνταξης αναπηρίας, καταβολή επιδομάτων, διευκολύνσεων και απαλλαγών, καθώς έχουν συμπεριληφθεί στο Μητρώο Αναπηρίας της Εθνικής Πύλης Αναπηρίας του ΕΦΚΑ.</w:t>
      </w:r>
    </w:p>
    <w:p w14:paraId="79DA8FBD">
      <w:pPr>
        <w:jc w:val="both"/>
        <w:rPr>
          <w:rFonts w:hint="default" w:ascii="Calibri" w:hAnsi="Calibri" w:cs="Calibri"/>
          <w:b/>
          <w:bCs/>
          <w:sz w:val="24"/>
          <w:szCs w:val="24"/>
        </w:rPr>
      </w:pPr>
      <w:r>
        <w:rPr>
          <w:rFonts w:hint="default" w:ascii="Calibri" w:hAnsi="Calibri" w:cs="Calibri"/>
          <w:b/>
          <w:sz w:val="24"/>
          <w:szCs w:val="24"/>
        </w:rPr>
        <w:t>Σύμφωνα με τα ανωτέρω</w:t>
      </w:r>
    </w:p>
    <w:p w14:paraId="3C683FC7">
      <w:pPr>
        <w:spacing w:after="0" w:line="240" w:lineRule="auto"/>
        <w:jc w:val="both"/>
        <w:rPr>
          <w:rFonts w:hint="default" w:ascii="Calibri" w:hAnsi="Calibri" w:cs="Calibri"/>
          <w:b/>
          <w:sz w:val="24"/>
          <w:szCs w:val="24"/>
        </w:rPr>
      </w:pPr>
    </w:p>
    <w:p w14:paraId="65B46701">
      <w:pPr>
        <w:spacing w:after="0" w:line="240" w:lineRule="auto"/>
        <w:jc w:val="both"/>
        <w:rPr>
          <w:rFonts w:hint="default" w:ascii="Calibri" w:hAnsi="Calibri" w:cs="Calibri"/>
          <w:b/>
          <w:sz w:val="24"/>
          <w:szCs w:val="24"/>
        </w:rPr>
      </w:pPr>
      <w:r>
        <w:rPr>
          <w:rFonts w:hint="default" w:ascii="Calibri" w:hAnsi="Calibri" w:cs="Calibri"/>
          <w:b/>
          <w:sz w:val="24"/>
          <w:szCs w:val="24"/>
        </w:rPr>
        <w:t xml:space="preserve">Επικοινωνία στο </w:t>
      </w:r>
      <w:r>
        <w:rPr>
          <w:rFonts w:hint="default" w:ascii="Calibri" w:hAnsi="Calibri" w:cs="Calibri"/>
        </w:rPr>
        <w:fldChar w:fldCharType="begin"/>
      </w:r>
      <w:r>
        <w:rPr>
          <w:rFonts w:hint="default" w:ascii="Calibri" w:hAnsi="Calibri" w:cs="Calibri"/>
        </w:rPr>
        <w:instrText xml:space="preserve"> HYPERLINK "mailto:soed2021@gmail.com" </w:instrText>
      </w:r>
      <w:r>
        <w:rPr>
          <w:rFonts w:hint="default" w:ascii="Calibri" w:hAnsi="Calibri" w:cs="Calibri"/>
        </w:rPr>
        <w:fldChar w:fldCharType="separate"/>
      </w:r>
      <w:r>
        <w:rPr>
          <w:rStyle w:val="8"/>
          <w:rFonts w:hint="default" w:ascii="Calibri" w:hAnsi="Calibri" w:cs="Calibri"/>
          <w:b/>
          <w:sz w:val="24"/>
          <w:szCs w:val="24"/>
          <w:lang w:val="en-US"/>
        </w:rPr>
        <w:t>soed</w:t>
      </w:r>
      <w:r>
        <w:rPr>
          <w:rStyle w:val="8"/>
          <w:rFonts w:hint="default" w:ascii="Calibri" w:hAnsi="Calibri" w:cs="Calibri"/>
          <w:b/>
          <w:sz w:val="24"/>
          <w:szCs w:val="24"/>
        </w:rPr>
        <w:t>2021@</w:t>
      </w:r>
      <w:r>
        <w:rPr>
          <w:rStyle w:val="8"/>
          <w:rFonts w:hint="default" w:ascii="Calibri" w:hAnsi="Calibri" w:cs="Calibri"/>
          <w:b/>
          <w:sz w:val="24"/>
          <w:szCs w:val="24"/>
          <w:lang w:val="en-US"/>
        </w:rPr>
        <w:t>gmail</w:t>
      </w:r>
      <w:r>
        <w:rPr>
          <w:rStyle w:val="8"/>
          <w:rFonts w:hint="default" w:ascii="Calibri" w:hAnsi="Calibri" w:cs="Calibri"/>
          <w:b/>
          <w:sz w:val="24"/>
          <w:szCs w:val="24"/>
        </w:rPr>
        <w:t>.com</w:t>
      </w:r>
      <w:r>
        <w:rPr>
          <w:rStyle w:val="8"/>
          <w:rFonts w:hint="default" w:ascii="Calibri" w:hAnsi="Calibri" w:cs="Calibri"/>
          <w:b/>
          <w:sz w:val="24"/>
          <w:szCs w:val="24"/>
        </w:rPr>
        <w:fldChar w:fldCharType="end"/>
      </w:r>
      <w:r>
        <w:rPr>
          <w:rFonts w:hint="default" w:ascii="Calibri" w:hAnsi="Calibri" w:cs="Calibri"/>
          <w:b/>
          <w:sz w:val="24"/>
          <w:szCs w:val="24"/>
        </w:rPr>
        <w:t>,, και τηλέφωνο 6972828656 Κοντούρης Δημήτριος</w:t>
      </w:r>
    </w:p>
    <w:p w14:paraId="0978B276">
      <w:pPr>
        <w:spacing w:after="0" w:line="240" w:lineRule="auto"/>
        <w:jc w:val="both"/>
        <w:rPr>
          <w:rFonts w:hint="default" w:ascii="Calibri" w:hAnsi="Calibri" w:cs="Calibri"/>
          <w:b/>
          <w:sz w:val="24"/>
          <w:szCs w:val="24"/>
        </w:rPr>
      </w:pPr>
    </w:p>
    <w:p w14:paraId="3A5557FD">
      <w:pPr>
        <w:spacing w:after="0" w:line="240" w:lineRule="auto"/>
        <w:jc w:val="both"/>
        <w:rPr>
          <w:rFonts w:hint="default" w:ascii="Calibri" w:hAnsi="Calibri" w:cs="Calibri"/>
          <w:b/>
          <w:sz w:val="24"/>
          <w:szCs w:val="24"/>
        </w:rPr>
      </w:pPr>
      <w:r>
        <w:rPr>
          <w:rFonts w:hint="default" w:ascii="Calibri" w:hAnsi="Calibri" w:cs="Calibri"/>
          <w:b/>
          <w:sz w:val="24"/>
          <w:szCs w:val="24"/>
        </w:rPr>
        <w:t xml:space="preserve">      Σας ευχαριστούμε εκ των προτέρων για το πολύτιμο χρόνο σας.</w:t>
      </w:r>
    </w:p>
    <w:p w14:paraId="5876C4EC">
      <w:pPr>
        <w:spacing w:after="0" w:line="240" w:lineRule="auto"/>
        <w:ind w:firstLine="720"/>
        <w:jc w:val="both"/>
        <w:rPr>
          <w:rFonts w:hint="default" w:ascii="Calibri" w:hAnsi="Calibri" w:cs="Calibri"/>
          <w:b/>
          <w:sz w:val="24"/>
          <w:szCs w:val="24"/>
        </w:rPr>
      </w:pPr>
    </w:p>
    <w:p w14:paraId="03F2D0F8">
      <w:pPr>
        <w:spacing w:after="0" w:line="240" w:lineRule="auto"/>
        <w:jc w:val="both"/>
        <w:rPr>
          <w:rFonts w:hint="default" w:ascii="Calibri" w:hAnsi="Calibri" w:cs="Calibri"/>
          <w:b/>
          <w:sz w:val="24"/>
          <w:szCs w:val="24"/>
        </w:rPr>
      </w:pPr>
      <w:r>
        <w:rPr>
          <w:rFonts w:hint="default" w:ascii="Calibri" w:hAnsi="Calibri" w:cs="Calibri"/>
          <w:b/>
          <w:sz w:val="24"/>
          <w:szCs w:val="24"/>
        </w:rPr>
        <w:t xml:space="preserve">                                            Με ιδιαίτερη τιμή</w:t>
      </w:r>
    </w:p>
    <w:p w14:paraId="15476FE5">
      <w:pPr>
        <w:pStyle w:val="11"/>
        <w:tabs>
          <w:tab w:val="left" w:pos="851"/>
        </w:tabs>
        <w:spacing w:after="120"/>
        <w:ind w:left="838"/>
        <w:jc w:val="both"/>
        <w:rPr>
          <w:rFonts w:hint="default" w:ascii="Calibri" w:hAnsi="Calibri" w:cs="Calibri"/>
          <w:b/>
          <w:sz w:val="24"/>
          <w:szCs w:val="24"/>
        </w:rPr>
      </w:pPr>
      <w:r>
        <w:rPr>
          <w:rFonts w:hint="default" w:ascii="Calibri" w:hAnsi="Calibri" w:cs="Calibri"/>
          <w:b/>
          <w:sz w:val="24"/>
          <w:szCs w:val="24"/>
        </w:rPr>
        <w:t xml:space="preserve">                       Για το Διοικητικό Συμβούλιο</w:t>
      </w:r>
    </w:p>
    <w:p w14:paraId="709C67B3">
      <w:pPr>
        <w:pStyle w:val="11"/>
        <w:tabs>
          <w:tab w:val="left" w:pos="851"/>
        </w:tabs>
        <w:spacing w:after="120"/>
        <w:ind w:left="838"/>
        <w:jc w:val="both"/>
        <w:rPr>
          <w:rFonts w:hint="default" w:ascii="Calibri" w:hAnsi="Calibri" w:cs="Calibri"/>
          <w:b/>
          <w:sz w:val="24"/>
          <w:szCs w:val="24"/>
        </w:rPr>
      </w:pPr>
    </w:p>
    <w:p w14:paraId="3B43311E">
      <w:pPr>
        <w:pStyle w:val="11"/>
        <w:tabs>
          <w:tab w:val="left" w:pos="851"/>
        </w:tabs>
        <w:spacing w:after="120"/>
        <w:ind w:left="838"/>
        <w:jc w:val="both"/>
        <w:rPr>
          <w:rFonts w:hint="default" w:ascii="Calibri" w:hAnsi="Calibri" w:cs="Calibri"/>
          <w:b/>
          <w:sz w:val="24"/>
          <w:szCs w:val="24"/>
        </w:rPr>
      </w:pPr>
      <w:r>
        <w:rPr>
          <w:rFonts w:hint="default" w:ascii="Calibri" w:hAnsi="Calibri" w:cs="Calibri"/>
          <w:b/>
          <w:sz w:val="24"/>
          <w:szCs w:val="24"/>
        </w:rPr>
        <w:t xml:space="preserve">Ο </w:t>
      </w:r>
      <w:r>
        <w:rPr>
          <w:rFonts w:hint="default" w:ascii="Calibri" w:hAnsi="Calibri" w:cs="Calibri"/>
          <w:b/>
          <w:sz w:val="24"/>
          <w:szCs w:val="24"/>
        </w:rPr>
        <w:tab/>
      </w:r>
      <w:r>
        <w:rPr>
          <w:rFonts w:hint="default" w:ascii="Calibri" w:hAnsi="Calibri" w:cs="Calibri"/>
          <w:b/>
          <w:sz w:val="24"/>
          <w:szCs w:val="24"/>
        </w:rPr>
        <w:tab/>
      </w:r>
      <w:r>
        <w:rPr>
          <w:rFonts w:hint="default" w:ascii="Calibri" w:hAnsi="Calibri" w:cs="Calibri"/>
          <w:b/>
          <w:sz w:val="24"/>
          <w:szCs w:val="24"/>
        </w:rPr>
        <w:tab/>
      </w:r>
      <w:r>
        <w:rPr>
          <w:rFonts w:hint="default" w:ascii="Calibri" w:hAnsi="Calibri" w:cs="Calibri"/>
          <w:b/>
          <w:sz w:val="24"/>
          <w:szCs w:val="24"/>
        </w:rPr>
        <w:tab/>
      </w:r>
      <w:r>
        <w:rPr>
          <w:rFonts w:hint="default" w:ascii="Calibri" w:hAnsi="Calibri" w:cs="Calibri"/>
          <w:b/>
          <w:sz w:val="24"/>
          <w:szCs w:val="24"/>
        </w:rPr>
        <w:tab/>
      </w:r>
      <w:r>
        <w:rPr>
          <w:rFonts w:hint="default" w:ascii="Calibri" w:hAnsi="Calibri" w:cs="Calibri"/>
          <w:b/>
          <w:sz w:val="24"/>
          <w:szCs w:val="24"/>
        </w:rPr>
        <w:t xml:space="preserve">                    Ο</w:t>
      </w:r>
    </w:p>
    <w:p w14:paraId="1BC025BD">
      <w:pPr>
        <w:tabs>
          <w:tab w:val="left" w:pos="851"/>
        </w:tabs>
        <w:spacing w:after="120"/>
        <w:jc w:val="both"/>
        <w:rPr>
          <w:rFonts w:hint="default" w:ascii="Calibri" w:hAnsi="Calibri" w:cs="Calibri"/>
          <w:b/>
          <w:sz w:val="24"/>
          <w:szCs w:val="24"/>
        </w:rPr>
      </w:pPr>
      <w:r>
        <w:rPr>
          <w:rFonts w:hint="default" w:ascii="Calibri" w:hAnsi="Calibri" w:cs="Calibri"/>
          <w:b/>
          <w:sz w:val="24"/>
          <w:szCs w:val="24"/>
        </w:rPr>
        <w:t xml:space="preserve">        Πρόεδρος</w:t>
      </w:r>
      <w:r>
        <w:rPr>
          <w:rFonts w:hint="default" w:ascii="Calibri" w:hAnsi="Calibri" w:cs="Calibri"/>
          <w:b/>
          <w:sz w:val="24"/>
          <w:szCs w:val="24"/>
        </w:rPr>
        <w:tab/>
      </w:r>
      <w:r>
        <w:rPr>
          <w:rFonts w:hint="default" w:ascii="Calibri" w:hAnsi="Calibri" w:cs="Calibri"/>
          <w:b/>
          <w:sz w:val="24"/>
          <w:szCs w:val="24"/>
        </w:rPr>
        <w:tab/>
      </w:r>
      <w:r>
        <w:rPr>
          <w:rFonts w:hint="default" w:ascii="Calibri" w:hAnsi="Calibri" w:cs="Calibri"/>
          <w:b/>
          <w:sz w:val="24"/>
          <w:szCs w:val="24"/>
        </w:rPr>
        <w:tab/>
      </w:r>
      <w:r>
        <w:rPr>
          <w:rFonts w:hint="default" w:ascii="Calibri" w:hAnsi="Calibri" w:cs="Calibri"/>
          <w:b/>
          <w:sz w:val="24"/>
          <w:szCs w:val="24"/>
        </w:rPr>
        <w:tab/>
      </w:r>
      <w:r>
        <w:rPr>
          <w:rFonts w:hint="default" w:ascii="Calibri" w:hAnsi="Calibri" w:cs="Calibri"/>
          <w:b/>
          <w:sz w:val="24"/>
          <w:szCs w:val="24"/>
        </w:rPr>
        <w:t xml:space="preserve">            Γεν. Γραμματέας</w:t>
      </w:r>
    </w:p>
    <w:p w14:paraId="35749555">
      <w:pPr>
        <w:tabs>
          <w:tab w:val="left" w:pos="851"/>
        </w:tabs>
        <w:spacing w:after="120"/>
        <w:jc w:val="both"/>
        <w:rPr>
          <w:rFonts w:hint="default" w:ascii="Calibri" w:hAnsi="Calibri" w:cs="Calibri"/>
          <w:b/>
          <w:sz w:val="24"/>
          <w:szCs w:val="24"/>
        </w:rPr>
      </w:pPr>
      <w:r>
        <w:rPr>
          <w:rFonts w:hint="default" w:ascii="Calibri" w:hAnsi="Calibri" w:cs="Calibri"/>
          <w:b/>
          <w:sz w:val="24"/>
          <w:szCs w:val="24"/>
        </w:rPr>
        <w:t>Δημήτριος Κοντούρης                                  Δημήτρης Τσιοπράς</w:t>
      </w:r>
    </w:p>
    <w:p w14:paraId="5491B744">
      <w:pPr>
        <w:pStyle w:val="11"/>
        <w:tabs>
          <w:tab w:val="left" w:pos="851"/>
        </w:tabs>
        <w:spacing w:after="120"/>
        <w:ind w:left="838"/>
        <w:rPr>
          <w:rFonts w:hint="default" w:ascii="Calibri" w:hAnsi="Calibri" w:cs="Calibri"/>
          <w:bCs/>
          <w:sz w:val="24"/>
          <w:szCs w:val="24"/>
        </w:rPr>
      </w:pPr>
    </w:p>
    <w:p w14:paraId="7530A04A">
      <w:pPr>
        <w:pStyle w:val="11"/>
        <w:tabs>
          <w:tab w:val="left" w:pos="851"/>
        </w:tabs>
        <w:spacing w:after="120"/>
        <w:ind w:left="838"/>
        <w:rPr>
          <w:rFonts w:hint="default" w:ascii="Calibri" w:hAnsi="Calibri" w:cs="Calibri"/>
          <w:bCs/>
          <w:sz w:val="24"/>
          <w:szCs w:val="24"/>
        </w:rPr>
      </w:pPr>
    </w:p>
    <w:p w14:paraId="658228FF">
      <w:pPr>
        <w:pStyle w:val="11"/>
        <w:tabs>
          <w:tab w:val="left" w:pos="851"/>
        </w:tabs>
        <w:spacing w:after="120"/>
        <w:ind w:left="838"/>
        <w:rPr>
          <w:rFonts w:hint="default" w:ascii="Calibri" w:hAnsi="Calibri" w:cs="Calibri"/>
          <w:bCs/>
          <w:sz w:val="24"/>
          <w:szCs w:val="24"/>
        </w:rPr>
      </w:pPr>
    </w:p>
    <w:p w14:paraId="4D6BB10D">
      <w:pPr>
        <w:pStyle w:val="11"/>
        <w:tabs>
          <w:tab w:val="left" w:pos="851"/>
        </w:tabs>
        <w:spacing w:after="120"/>
        <w:ind w:left="838"/>
        <w:rPr>
          <w:rFonts w:hint="default" w:ascii="Calibri" w:hAnsi="Calibri" w:cs="Calibri"/>
          <w:bCs/>
          <w:sz w:val="24"/>
          <w:szCs w:val="24"/>
        </w:rPr>
      </w:pPr>
    </w:p>
    <w:p w14:paraId="37742793">
      <w:pPr>
        <w:pStyle w:val="11"/>
        <w:tabs>
          <w:tab w:val="left" w:pos="851"/>
        </w:tabs>
        <w:spacing w:after="120"/>
        <w:ind w:left="838"/>
        <w:rPr>
          <w:rFonts w:hint="default" w:ascii="Calibri" w:hAnsi="Calibri" w:cs="Calibri"/>
          <w:b/>
          <w:sz w:val="24"/>
          <w:szCs w:val="24"/>
        </w:rPr>
      </w:pPr>
    </w:p>
    <w:p w14:paraId="7E1F02CC">
      <w:pPr>
        <w:pStyle w:val="11"/>
        <w:tabs>
          <w:tab w:val="left" w:pos="851"/>
        </w:tabs>
        <w:spacing w:after="120"/>
        <w:ind w:left="838"/>
        <w:rPr>
          <w:rFonts w:hint="default" w:ascii="Calibri" w:hAnsi="Calibri" w:cs="Calibri"/>
          <w:b/>
          <w:sz w:val="24"/>
          <w:szCs w:val="24"/>
        </w:rPr>
      </w:pPr>
    </w:p>
    <w:p w14:paraId="06BB487F">
      <w:pPr>
        <w:pStyle w:val="11"/>
        <w:tabs>
          <w:tab w:val="left" w:pos="851"/>
        </w:tabs>
        <w:spacing w:after="120"/>
        <w:ind w:left="838"/>
        <w:rPr>
          <w:rFonts w:hint="default" w:ascii="Calibri" w:hAnsi="Calibri" w:cs="Calibri"/>
          <w:b/>
        </w:rPr>
      </w:pPr>
    </w:p>
    <w:p w14:paraId="59D8D154">
      <w:pPr>
        <w:pStyle w:val="11"/>
        <w:tabs>
          <w:tab w:val="left" w:pos="851"/>
        </w:tabs>
        <w:spacing w:after="120"/>
        <w:ind w:left="838"/>
        <w:rPr>
          <w:rFonts w:hint="default" w:ascii="Calibri" w:hAnsi="Calibri" w:cs="Calibri"/>
          <w:b/>
        </w:rPr>
      </w:pPr>
    </w:p>
    <w:p w14:paraId="6DE36F43">
      <w:pPr>
        <w:tabs>
          <w:tab w:val="left" w:pos="851"/>
        </w:tabs>
        <w:spacing w:after="120"/>
        <w:ind w:left="478"/>
        <w:rPr>
          <w:rFonts w:hint="default" w:ascii="Calibri" w:hAnsi="Calibri" w:cs="Calibri"/>
          <w:b/>
        </w:rPr>
      </w:pPr>
    </w:p>
    <w:sectPr>
      <w:headerReference r:id="rId7" w:type="first"/>
      <w:footerReference r:id="rId10" w:type="first"/>
      <w:headerReference r:id="rId5" w:type="default"/>
      <w:footerReference r:id="rId8" w:type="default"/>
      <w:headerReference r:id="rId6" w:type="even"/>
      <w:footerReference r:id="rId9" w:type="even"/>
      <w:pgSz w:w="11906" w:h="16838"/>
      <w:pgMar w:top="1276"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0"/>
    <w:family w:val="swiss"/>
    <w:pitch w:val="default"/>
    <w:sig w:usb0="FFFFFFFF" w:usb1="E9FFFFFF" w:usb2="0000003F" w:usb3="00000000" w:csb0="603F01FF" w:csb1="FFFF0000"/>
  </w:font>
  <w:font w:name="helvetica neu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EB0E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7DB7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A2008">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B3F3E">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86885">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8C0F4">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4C"/>
    <w:rsid w:val="00000237"/>
    <w:rsid w:val="000009FB"/>
    <w:rsid w:val="00021F7C"/>
    <w:rsid w:val="000338EC"/>
    <w:rsid w:val="0005544C"/>
    <w:rsid w:val="0006751C"/>
    <w:rsid w:val="00091B50"/>
    <w:rsid w:val="00094184"/>
    <w:rsid w:val="000A67E6"/>
    <w:rsid w:val="000B5A71"/>
    <w:rsid w:val="000E01E2"/>
    <w:rsid w:val="000E4FE4"/>
    <w:rsid w:val="00101C1A"/>
    <w:rsid w:val="0010269A"/>
    <w:rsid w:val="00104E48"/>
    <w:rsid w:val="00106145"/>
    <w:rsid w:val="001076B0"/>
    <w:rsid w:val="00134C69"/>
    <w:rsid w:val="00157E72"/>
    <w:rsid w:val="00162DB3"/>
    <w:rsid w:val="00163B52"/>
    <w:rsid w:val="00163D2B"/>
    <w:rsid w:val="00172969"/>
    <w:rsid w:val="001738EC"/>
    <w:rsid w:val="0019219F"/>
    <w:rsid w:val="00194F3D"/>
    <w:rsid w:val="001A6C21"/>
    <w:rsid w:val="001B0CDF"/>
    <w:rsid w:val="001B6824"/>
    <w:rsid w:val="001D1D08"/>
    <w:rsid w:val="00210558"/>
    <w:rsid w:val="00220CF4"/>
    <w:rsid w:val="0023070F"/>
    <w:rsid w:val="00240162"/>
    <w:rsid w:val="00251C26"/>
    <w:rsid w:val="00253A07"/>
    <w:rsid w:val="0025583B"/>
    <w:rsid w:val="0028556E"/>
    <w:rsid w:val="002B11AF"/>
    <w:rsid w:val="002B73C8"/>
    <w:rsid w:val="002C696C"/>
    <w:rsid w:val="002D073C"/>
    <w:rsid w:val="002D1A31"/>
    <w:rsid w:val="00301F3E"/>
    <w:rsid w:val="0033515E"/>
    <w:rsid w:val="00343370"/>
    <w:rsid w:val="003548C9"/>
    <w:rsid w:val="00392B07"/>
    <w:rsid w:val="00395F2D"/>
    <w:rsid w:val="00396109"/>
    <w:rsid w:val="003A3733"/>
    <w:rsid w:val="003B2643"/>
    <w:rsid w:val="003B5EF5"/>
    <w:rsid w:val="003B7047"/>
    <w:rsid w:val="003C140C"/>
    <w:rsid w:val="003C24CC"/>
    <w:rsid w:val="003C6B19"/>
    <w:rsid w:val="003C6C1E"/>
    <w:rsid w:val="003E7E03"/>
    <w:rsid w:val="00400904"/>
    <w:rsid w:val="00422531"/>
    <w:rsid w:val="00426515"/>
    <w:rsid w:val="00433A18"/>
    <w:rsid w:val="00442E65"/>
    <w:rsid w:val="00461E8D"/>
    <w:rsid w:val="00462584"/>
    <w:rsid w:val="00462782"/>
    <w:rsid w:val="00470BBD"/>
    <w:rsid w:val="00473505"/>
    <w:rsid w:val="004824D2"/>
    <w:rsid w:val="004A276C"/>
    <w:rsid w:val="004A5230"/>
    <w:rsid w:val="004A744B"/>
    <w:rsid w:val="004B00F2"/>
    <w:rsid w:val="004B559C"/>
    <w:rsid w:val="004B76B6"/>
    <w:rsid w:val="004C4BB7"/>
    <w:rsid w:val="004E4FBF"/>
    <w:rsid w:val="00512AAB"/>
    <w:rsid w:val="00516950"/>
    <w:rsid w:val="0053436C"/>
    <w:rsid w:val="0053698A"/>
    <w:rsid w:val="00543652"/>
    <w:rsid w:val="00552AC9"/>
    <w:rsid w:val="00566B80"/>
    <w:rsid w:val="00566BB1"/>
    <w:rsid w:val="0057728D"/>
    <w:rsid w:val="005830A1"/>
    <w:rsid w:val="00585E6D"/>
    <w:rsid w:val="00596870"/>
    <w:rsid w:val="005D1B9C"/>
    <w:rsid w:val="005D35A8"/>
    <w:rsid w:val="005E4E25"/>
    <w:rsid w:val="005E7FFA"/>
    <w:rsid w:val="005F5F87"/>
    <w:rsid w:val="005F7C9A"/>
    <w:rsid w:val="00640514"/>
    <w:rsid w:val="006446A1"/>
    <w:rsid w:val="00646EF0"/>
    <w:rsid w:val="006635E6"/>
    <w:rsid w:val="006863B5"/>
    <w:rsid w:val="006874A4"/>
    <w:rsid w:val="006A2EDF"/>
    <w:rsid w:val="006A447A"/>
    <w:rsid w:val="006A5B91"/>
    <w:rsid w:val="006A5BFC"/>
    <w:rsid w:val="006C6860"/>
    <w:rsid w:val="006D3570"/>
    <w:rsid w:val="006D50AA"/>
    <w:rsid w:val="006D6A71"/>
    <w:rsid w:val="0070169B"/>
    <w:rsid w:val="00711B02"/>
    <w:rsid w:val="007159EA"/>
    <w:rsid w:val="007160C2"/>
    <w:rsid w:val="00733973"/>
    <w:rsid w:val="007370CE"/>
    <w:rsid w:val="00746B5B"/>
    <w:rsid w:val="00746E2E"/>
    <w:rsid w:val="00747FED"/>
    <w:rsid w:val="00751BBD"/>
    <w:rsid w:val="0075711B"/>
    <w:rsid w:val="0076188C"/>
    <w:rsid w:val="00782382"/>
    <w:rsid w:val="007962A2"/>
    <w:rsid w:val="00796E56"/>
    <w:rsid w:val="007A040D"/>
    <w:rsid w:val="007B4CEE"/>
    <w:rsid w:val="007C781D"/>
    <w:rsid w:val="007D744C"/>
    <w:rsid w:val="008159B5"/>
    <w:rsid w:val="008166F9"/>
    <w:rsid w:val="0086105D"/>
    <w:rsid w:val="00864886"/>
    <w:rsid w:val="00866815"/>
    <w:rsid w:val="008775D2"/>
    <w:rsid w:val="00881E86"/>
    <w:rsid w:val="00892414"/>
    <w:rsid w:val="008A6B70"/>
    <w:rsid w:val="008E4FC6"/>
    <w:rsid w:val="008E72E0"/>
    <w:rsid w:val="008E7E0E"/>
    <w:rsid w:val="00910495"/>
    <w:rsid w:val="009152A5"/>
    <w:rsid w:val="00915976"/>
    <w:rsid w:val="00923C0B"/>
    <w:rsid w:val="00992A32"/>
    <w:rsid w:val="00993A40"/>
    <w:rsid w:val="009A0568"/>
    <w:rsid w:val="009B0280"/>
    <w:rsid w:val="009B2357"/>
    <w:rsid w:val="009D23CD"/>
    <w:rsid w:val="00A07AF9"/>
    <w:rsid w:val="00A13250"/>
    <w:rsid w:val="00A22106"/>
    <w:rsid w:val="00A23678"/>
    <w:rsid w:val="00A656BD"/>
    <w:rsid w:val="00A73B0E"/>
    <w:rsid w:val="00A770BC"/>
    <w:rsid w:val="00A81E55"/>
    <w:rsid w:val="00A83F53"/>
    <w:rsid w:val="00A871F4"/>
    <w:rsid w:val="00AA08B0"/>
    <w:rsid w:val="00AA1B03"/>
    <w:rsid w:val="00AB1A02"/>
    <w:rsid w:val="00AC4A6B"/>
    <w:rsid w:val="00AD04D0"/>
    <w:rsid w:val="00AD16C0"/>
    <w:rsid w:val="00AD4F5B"/>
    <w:rsid w:val="00AD64F0"/>
    <w:rsid w:val="00AE2083"/>
    <w:rsid w:val="00AE50ED"/>
    <w:rsid w:val="00AE6D3E"/>
    <w:rsid w:val="00AE7816"/>
    <w:rsid w:val="00AE7EE6"/>
    <w:rsid w:val="00AF5E44"/>
    <w:rsid w:val="00B01E1A"/>
    <w:rsid w:val="00B059DE"/>
    <w:rsid w:val="00B21F76"/>
    <w:rsid w:val="00B278C0"/>
    <w:rsid w:val="00B371B8"/>
    <w:rsid w:val="00B46B43"/>
    <w:rsid w:val="00B56FAD"/>
    <w:rsid w:val="00B80D43"/>
    <w:rsid w:val="00B9071C"/>
    <w:rsid w:val="00BE3B30"/>
    <w:rsid w:val="00BE7DEE"/>
    <w:rsid w:val="00BF7B7C"/>
    <w:rsid w:val="00C00052"/>
    <w:rsid w:val="00C0429C"/>
    <w:rsid w:val="00C27777"/>
    <w:rsid w:val="00C34E0D"/>
    <w:rsid w:val="00C400D7"/>
    <w:rsid w:val="00C471CD"/>
    <w:rsid w:val="00C54F23"/>
    <w:rsid w:val="00C90196"/>
    <w:rsid w:val="00CA6FCB"/>
    <w:rsid w:val="00CB1B69"/>
    <w:rsid w:val="00CB6ED7"/>
    <w:rsid w:val="00CC149F"/>
    <w:rsid w:val="00CC4987"/>
    <w:rsid w:val="00CC5701"/>
    <w:rsid w:val="00CD3FA3"/>
    <w:rsid w:val="00CD7ACD"/>
    <w:rsid w:val="00CE2380"/>
    <w:rsid w:val="00CE7C59"/>
    <w:rsid w:val="00D00DD3"/>
    <w:rsid w:val="00D0758D"/>
    <w:rsid w:val="00D110B7"/>
    <w:rsid w:val="00D15AE4"/>
    <w:rsid w:val="00D2160D"/>
    <w:rsid w:val="00D470A5"/>
    <w:rsid w:val="00D54AC5"/>
    <w:rsid w:val="00D6319D"/>
    <w:rsid w:val="00D73468"/>
    <w:rsid w:val="00D7778F"/>
    <w:rsid w:val="00D911F0"/>
    <w:rsid w:val="00DA36A9"/>
    <w:rsid w:val="00DB7BEF"/>
    <w:rsid w:val="00DD6622"/>
    <w:rsid w:val="00DD7A08"/>
    <w:rsid w:val="00DE46BC"/>
    <w:rsid w:val="00DF2D1F"/>
    <w:rsid w:val="00DF47D5"/>
    <w:rsid w:val="00E017F6"/>
    <w:rsid w:val="00E050D5"/>
    <w:rsid w:val="00E12409"/>
    <w:rsid w:val="00E20340"/>
    <w:rsid w:val="00E27E18"/>
    <w:rsid w:val="00E346F5"/>
    <w:rsid w:val="00E42BF6"/>
    <w:rsid w:val="00E45889"/>
    <w:rsid w:val="00E47FCC"/>
    <w:rsid w:val="00E71CC0"/>
    <w:rsid w:val="00E83CA6"/>
    <w:rsid w:val="00E90C9D"/>
    <w:rsid w:val="00EA5367"/>
    <w:rsid w:val="00EC1B21"/>
    <w:rsid w:val="00EC1C19"/>
    <w:rsid w:val="00ED125A"/>
    <w:rsid w:val="00EE3C8E"/>
    <w:rsid w:val="00EF4731"/>
    <w:rsid w:val="00F1341D"/>
    <w:rsid w:val="00F25882"/>
    <w:rsid w:val="00F25966"/>
    <w:rsid w:val="00F57177"/>
    <w:rsid w:val="00F7209E"/>
    <w:rsid w:val="00F80203"/>
    <w:rsid w:val="00F826E8"/>
    <w:rsid w:val="00FB4962"/>
    <w:rsid w:val="00FB7273"/>
    <w:rsid w:val="00FC43E2"/>
    <w:rsid w:val="00FC619C"/>
    <w:rsid w:val="00FD0DAC"/>
    <w:rsid w:val="00FD1691"/>
    <w:rsid w:val="00FD64FE"/>
    <w:rsid w:val="00FE5971"/>
    <w:rsid w:val="0995530B"/>
  </w:rsids>
  <m:mathPr>
    <m:mathFont m:val="Cambria Math"/>
    <m:brkBin m:val="before"/>
    <m:brkBinSub m:val="--"/>
    <m:smallFrac m:val="1"/>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styleId="2">
    <w:name w:val="heading 3"/>
    <w:basedOn w:val="1"/>
    <w:next w:val="1"/>
    <w:unhideWhenUsed/>
    <w:qFormat/>
    <w:uiPriority w:val="9"/>
    <w:pPr>
      <w:keepNext/>
      <w:keepLines/>
      <w:spacing w:before="200"/>
      <w:outlineLvl w:val="2"/>
    </w:pPr>
    <w:rPr>
      <w:rFonts w:ascii="helvetica neue" w:hAnsi="helvetica neue" w:eastAsia="Times New Roman"/>
      <w:b/>
      <w:bCs/>
      <w:color w:val="00A2FF"/>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0"/>
    <w:semiHidden/>
    <w:unhideWhenUsed/>
    <w:uiPriority w:val="99"/>
    <w:pPr>
      <w:spacing w:after="0" w:line="240" w:lineRule="auto"/>
    </w:pPr>
    <w:rPr>
      <w:rFonts w:ascii="Tahoma" w:hAnsi="Tahoma" w:cs="Tahoma"/>
      <w:sz w:val="16"/>
      <w:szCs w:val="16"/>
    </w:rPr>
  </w:style>
  <w:style w:type="paragraph" w:styleId="6">
    <w:name w:val="footer"/>
    <w:basedOn w:val="1"/>
    <w:link w:val="13"/>
    <w:semiHidden/>
    <w:unhideWhenUsed/>
    <w:uiPriority w:val="99"/>
    <w:pPr>
      <w:tabs>
        <w:tab w:val="center" w:pos="4153"/>
        <w:tab w:val="right" w:pos="8306"/>
      </w:tabs>
      <w:spacing w:after="0" w:line="240" w:lineRule="auto"/>
    </w:pPr>
  </w:style>
  <w:style w:type="paragraph" w:styleId="7">
    <w:name w:val="header"/>
    <w:basedOn w:val="1"/>
    <w:link w:val="12"/>
    <w:semiHidden/>
    <w:unhideWhenUsed/>
    <w:uiPriority w:val="99"/>
    <w:pPr>
      <w:tabs>
        <w:tab w:val="center" w:pos="4153"/>
        <w:tab w:val="right" w:pos="8306"/>
      </w:tabs>
      <w:spacing w:after="0" w:line="240" w:lineRule="auto"/>
    </w:pPr>
  </w:style>
  <w:style w:type="character" w:styleId="8">
    <w:name w:val="Hyperlink"/>
    <w:basedOn w:val="3"/>
    <w:unhideWhenUsed/>
    <w:uiPriority w:val="99"/>
    <w:rPr>
      <w:color w:val="0000FF" w:themeColor="hyperlink"/>
      <w:u w:val="single"/>
      <w14:textFill>
        <w14:solidFill>
          <w14:schemeClr w14:val="hlink"/>
        </w14:solidFill>
      </w14:textFill>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
    <w:name w:val="Κείμενο πλαισίου Char"/>
    <w:basedOn w:val="3"/>
    <w:link w:val="5"/>
    <w:semiHidden/>
    <w:uiPriority w:val="99"/>
    <w:rPr>
      <w:rFonts w:ascii="Tahoma" w:hAnsi="Tahoma" w:cs="Tahoma"/>
      <w:sz w:val="16"/>
      <w:szCs w:val="16"/>
    </w:rPr>
  </w:style>
  <w:style w:type="paragraph" w:styleId="11">
    <w:name w:val="List Paragraph"/>
    <w:basedOn w:val="1"/>
    <w:qFormat/>
    <w:uiPriority w:val="34"/>
    <w:pPr>
      <w:ind w:left="720"/>
      <w:contextualSpacing/>
    </w:pPr>
  </w:style>
  <w:style w:type="character" w:customStyle="1" w:styleId="12">
    <w:name w:val="Κεφαλίδα Char"/>
    <w:basedOn w:val="3"/>
    <w:link w:val="7"/>
    <w:semiHidden/>
    <w:uiPriority w:val="99"/>
  </w:style>
  <w:style w:type="character" w:customStyle="1" w:styleId="13">
    <w:name w:val="Υποσέλιδο Char"/>
    <w:basedOn w:val="3"/>
    <w:link w:val="6"/>
    <w:semiHidden/>
    <w:uiPriority w:val="99"/>
  </w:style>
  <w:style w:type="paragraph" w:customStyle="1" w:styleId="14">
    <w:name w:val="Κύριο τμήμα A"/>
    <w:qFormat/>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helvetica neue" w:hAnsi="helvetica neue" w:eastAsia="Arial Unicode MS" w:cs="Arial Unicode MS"/>
      <w:color w:val="000000"/>
      <w:sz w:val="22"/>
      <w:szCs w:val="22"/>
      <w:u w:color="000000"/>
      <w:lang w:val="el-GR" w:eastAsia="el-GR"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9DD5E-A577-460B-9A2B-DE2089E9506B}">
  <ds:schemaRefs/>
</ds:datastoreItem>
</file>

<file path=docProps/app.xml><?xml version="1.0" encoding="utf-8"?>
<Properties xmlns="http://schemas.openxmlformats.org/officeDocument/2006/extended-properties" xmlns:vt="http://schemas.openxmlformats.org/officeDocument/2006/docPropsVTypes">
  <Template>Normal</Template>
  <Pages>3</Pages>
  <Words>669</Words>
  <Characters>3617</Characters>
  <Lines>30</Lines>
  <Paragraphs>8</Paragraphs>
  <TotalTime>4</TotalTime>
  <ScaleCrop>false</ScaleCrop>
  <LinksUpToDate>false</LinksUpToDate>
  <CharactersWithSpaces>4278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2025-04-22T07:35:00Z</dcterms:created>
  <dc:creator>vagpapg4@gmail.com</dc:creator>
  <cp:lastModifiedBy>ΝΙΚΟΛΕΤΤΑ ΜΠΟΥΡ�</cp:lastModifiedBy>
  <cp:lastPrinted>2024-02-12T18:27:00Z</cp:lastPrinted>
  <dcterms:modified xsi:type="dcterms:W3CDTF">2025-04-24T12:17:09Z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196234454172449CBF957AFFA9B91C83_13</vt:lpwstr>
  </property>
</Properties>
</file>