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6F37D0" w:rsidRPr="0068536A" w14:paraId="2FADDA5D" w14:textId="77777777" w:rsidTr="00F26854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4A7DF08E" w14:textId="77777777" w:rsidR="00C711D6" w:rsidRPr="00766A4F" w:rsidRDefault="001F260A" w:rsidP="00B220DD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bookmarkStart w:id="0" w:name="_GoBack"/>
            <w:bookmarkEnd w:id="0"/>
            <w:r>
              <w:rPr>
                <w:i/>
                <w:noProof/>
                <w:szCs w:val="22"/>
                <w:lang w:val="en-US" w:eastAsia="en-US"/>
              </w:rPr>
              <w:drawing>
                <wp:inline distT="0" distB="0" distL="0" distR="0" wp14:anchorId="63DED844" wp14:editId="771B871C">
                  <wp:extent cx="1621155" cy="873125"/>
                  <wp:effectExtent l="0" t="0" r="0" b="0"/>
                  <wp:docPr id="3" name="Picture 1" descr="LOGO TE - small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 - small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5C825D1D" w14:textId="77777777" w:rsidR="00375D2B" w:rsidRDefault="00375D2B" w:rsidP="00375D2B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103B0019" w14:textId="77777777" w:rsidR="00375D2B" w:rsidRPr="006932B9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 w:rsidRPr="006932B9"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27F7B66" w14:textId="35EF4011" w:rsidR="00C711D6" w:rsidRPr="0068536A" w:rsidRDefault="003668FA" w:rsidP="00FF56C4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val="en-US" w:eastAsia="en-GB"/>
              </w:rPr>
            </w:pP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FF56C4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15</w:t>
            </w:r>
            <w:r w:rsidR="00FD7781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 </w:t>
            </w:r>
            <w:r w:rsidR="00FF56C4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Οκτωβρ</w:t>
            </w:r>
            <w:r w:rsidR="003E125D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ίου 2024</w:t>
            </w:r>
          </w:p>
        </w:tc>
      </w:tr>
    </w:tbl>
    <w:p w14:paraId="3B9EE140" w14:textId="77777777" w:rsidR="00C711D6" w:rsidRPr="0068536A" w:rsidRDefault="00C711D6" w:rsidP="00C711D6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59342851" w14:textId="77777777" w:rsidR="00FF5D14" w:rsidRPr="0068536A" w:rsidRDefault="00FF5D14" w:rsidP="00FF5D14">
      <w:pPr>
        <w:rPr>
          <w:lang w:val="el-GR" w:eastAsia="en-GB"/>
        </w:rPr>
      </w:pPr>
    </w:p>
    <w:p w14:paraId="40FBA3FC" w14:textId="7213306A" w:rsidR="00517B14" w:rsidRDefault="00CF47BD">
      <w:pPr>
        <w:rPr>
          <w:b/>
          <w:color w:val="002060"/>
          <w:sz w:val="32"/>
          <w:szCs w:val="32"/>
          <w:lang w:val="el-GR" w:eastAsia="en-US"/>
        </w:rPr>
      </w:pPr>
      <w:r>
        <w:rPr>
          <w:b/>
          <w:color w:val="002060"/>
          <w:sz w:val="32"/>
          <w:szCs w:val="32"/>
          <w:lang w:val="el-GR" w:eastAsia="en-US"/>
        </w:rPr>
        <w:t xml:space="preserve">Έρευνα Τραπεζικών Χορηγήσεων – </w:t>
      </w:r>
      <w:r w:rsidR="00FF56C4">
        <w:rPr>
          <w:b/>
          <w:color w:val="002060"/>
          <w:sz w:val="32"/>
          <w:szCs w:val="32"/>
          <w:lang w:val="el-GR" w:eastAsia="en-US"/>
        </w:rPr>
        <w:t>γ</w:t>
      </w:r>
      <w:r w:rsidR="005E62D0">
        <w:rPr>
          <w:b/>
          <w:color w:val="002060"/>
          <w:sz w:val="32"/>
          <w:szCs w:val="32"/>
          <w:lang w:val="el-GR" w:eastAsia="en-US"/>
        </w:rPr>
        <w:t>΄ τρίμηνο 202</w:t>
      </w:r>
      <w:r w:rsidR="00EA3F8B">
        <w:rPr>
          <w:b/>
          <w:color w:val="002060"/>
          <w:sz w:val="32"/>
          <w:szCs w:val="32"/>
          <w:lang w:val="el-GR" w:eastAsia="en-US"/>
        </w:rPr>
        <w:t>4</w:t>
      </w:r>
    </w:p>
    <w:p w14:paraId="273D5765" w14:textId="77777777" w:rsidR="002E479E" w:rsidRPr="00755A8E" w:rsidRDefault="002E479E">
      <w:pPr>
        <w:rPr>
          <w:b/>
          <w:color w:val="002060"/>
          <w:sz w:val="32"/>
          <w:szCs w:val="32"/>
          <w:lang w:val="el-GR" w:eastAsia="en-US"/>
        </w:rPr>
      </w:pPr>
    </w:p>
    <w:p w14:paraId="10CEDE5B" w14:textId="77777777" w:rsidR="00517B14" w:rsidRPr="00755A8E" w:rsidRDefault="00517B14">
      <w:pPr>
        <w:rPr>
          <w:b/>
          <w:color w:val="002060"/>
          <w:sz w:val="32"/>
          <w:szCs w:val="32"/>
          <w:lang w:val="el-GR"/>
        </w:rPr>
      </w:pPr>
    </w:p>
    <w:p w14:paraId="6B34FA6F" w14:textId="3B27B83F" w:rsidR="0068536A" w:rsidRDefault="00B47E96" w:rsidP="00816DE3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Pr="00517B14">
        <w:rPr>
          <w:sz w:val="22"/>
          <w:szCs w:val="22"/>
          <w:lang w:val="el-GR"/>
        </w:rPr>
        <w:t>α κριτήρια χορήγησης δανείων προς τις μη χρηματοπιστωτικές επιχειρήσεις (ΜΧΕ) παρέμε</w:t>
      </w:r>
      <w:r w:rsidR="003E125D">
        <w:rPr>
          <w:sz w:val="22"/>
          <w:szCs w:val="22"/>
          <w:lang w:val="el-GR"/>
        </w:rPr>
        <w:t>ιναν</w:t>
      </w:r>
      <w:r w:rsidR="00E52434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αμετάβλητα</w:t>
      </w:r>
      <w:r w:rsidR="00963ACA">
        <w:rPr>
          <w:sz w:val="22"/>
          <w:szCs w:val="22"/>
          <w:lang w:val="el-GR"/>
        </w:rPr>
        <w:t xml:space="preserve"> κατά το </w:t>
      </w:r>
      <w:r w:rsidR="00421EAD">
        <w:rPr>
          <w:sz w:val="22"/>
          <w:szCs w:val="22"/>
          <w:lang w:val="el-GR"/>
        </w:rPr>
        <w:t>γ</w:t>
      </w:r>
      <w:r w:rsidR="005E62D0">
        <w:rPr>
          <w:sz w:val="22"/>
          <w:szCs w:val="22"/>
          <w:lang w:val="el-GR"/>
        </w:rPr>
        <w:t>΄ τρίμηνο του 202</w:t>
      </w:r>
      <w:r w:rsidR="00523366">
        <w:rPr>
          <w:sz w:val="22"/>
          <w:szCs w:val="22"/>
          <w:lang w:val="el-GR"/>
        </w:rPr>
        <w:t>4</w:t>
      </w:r>
      <w:r w:rsidR="00421EAD">
        <w:rPr>
          <w:sz w:val="22"/>
          <w:szCs w:val="22"/>
          <w:lang w:val="el-GR"/>
        </w:rPr>
        <w:t>.</w:t>
      </w:r>
      <w:r w:rsidR="00410CF4" w:rsidRPr="00410CF4">
        <w:rPr>
          <w:sz w:val="22"/>
          <w:szCs w:val="22"/>
          <w:lang w:val="el-GR"/>
        </w:rPr>
        <w:t xml:space="preserve"> </w:t>
      </w:r>
      <w:r w:rsidR="00421EAD">
        <w:rPr>
          <w:sz w:val="22"/>
          <w:szCs w:val="22"/>
          <w:lang w:val="el-GR"/>
        </w:rPr>
        <w:t xml:space="preserve">Αμετάβλητοι παρέμειναν και </w:t>
      </w:r>
      <w:r w:rsidR="00CE635B">
        <w:rPr>
          <w:sz w:val="22"/>
          <w:szCs w:val="22"/>
          <w:lang w:val="el-GR"/>
        </w:rPr>
        <w:t>οι συνολικοί όροι χο</w:t>
      </w:r>
      <w:r w:rsidR="00566D7D">
        <w:rPr>
          <w:sz w:val="22"/>
          <w:szCs w:val="22"/>
          <w:lang w:val="el-GR"/>
        </w:rPr>
        <w:t>ρήγησης επ</w:t>
      </w:r>
      <w:r w:rsidR="00CF47BD">
        <w:rPr>
          <w:sz w:val="22"/>
          <w:szCs w:val="22"/>
          <w:lang w:val="el-GR"/>
        </w:rPr>
        <w:t>ιχειρηματικών δανείων</w:t>
      </w:r>
      <w:r w:rsidR="001B7350">
        <w:rPr>
          <w:sz w:val="22"/>
          <w:szCs w:val="22"/>
          <w:lang w:val="el-GR"/>
        </w:rPr>
        <w:t>.</w:t>
      </w:r>
      <w:r w:rsidR="00566D7D">
        <w:rPr>
          <w:sz w:val="22"/>
          <w:szCs w:val="22"/>
          <w:lang w:val="el-GR"/>
        </w:rPr>
        <w:t xml:space="preserve"> </w:t>
      </w:r>
      <w:r w:rsidR="00FD759D">
        <w:rPr>
          <w:sz w:val="22"/>
          <w:szCs w:val="22"/>
          <w:lang w:val="el-GR"/>
        </w:rPr>
        <w:t>Η</w:t>
      </w:r>
      <w:r w:rsidR="00421EAD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συνολική ζήτηση </w:t>
      </w:r>
      <w:r w:rsidR="00B75045">
        <w:rPr>
          <w:sz w:val="22"/>
          <w:szCs w:val="22"/>
          <w:lang w:val="el-GR"/>
        </w:rPr>
        <w:t>για επιχειρηματικά δάνεια</w:t>
      </w:r>
      <w:r w:rsidR="00FD7781">
        <w:rPr>
          <w:sz w:val="22"/>
          <w:szCs w:val="22"/>
          <w:lang w:val="el-GR"/>
        </w:rPr>
        <w:t xml:space="preserve"> παρέμεινε </w:t>
      </w:r>
      <w:r w:rsidR="00421EAD">
        <w:rPr>
          <w:sz w:val="22"/>
          <w:szCs w:val="22"/>
          <w:lang w:val="el-GR"/>
        </w:rPr>
        <w:t xml:space="preserve">σχεδόν </w:t>
      </w:r>
      <w:r w:rsidR="00FD7781">
        <w:rPr>
          <w:sz w:val="22"/>
          <w:szCs w:val="22"/>
          <w:lang w:val="el-GR"/>
        </w:rPr>
        <w:t>αμετάβλητη</w:t>
      </w:r>
      <w:r>
        <w:rPr>
          <w:sz w:val="22"/>
          <w:szCs w:val="22"/>
          <w:lang w:val="el-GR"/>
        </w:rPr>
        <w:t>.</w:t>
      </w:r>
    </w:p>
    <w:p w14:paraId="6A78690F" w14:textId="567DA943" w:rsidR="00B47E96" w:rsidRDefault="00B47E96" w:rsidP="00816DE3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Pr="00517B14">
        <w:rPr>
          <w:sz w:val="22"/>
          <w:szCs w:val="22"/>
          <w:lang w:val="el-GR"/>
        </w:rPr>
        <w:t xml:space="preserve">α κριτήρια </w:t>
      </w:r>
      <w:r w:rsidR="00AF2A8D">
        <w:rPr>
          <w:sz w:val="22"/>
          <w:szCs w:val="22"/>
          <w:lang w:val="el-GR"/>
        </w:rPr>
        <w:t>και οι συνολικοί όροι</w:t>
      </w:r>
      <w:r w:rsidR="00FD759D">
        <w:rPr>
          <w:sz w:val="22"/>
          <w:szCs w:val="22"/>
          <w:lang w:val="el-GR"/>
        </w:rPr>
        <w:t xml:space="preserve"> </w:t>
      </w:r>
      <w:r w:rsidR="00412219" w:rsidRPr="00517B14">
        <w:rPr>
          <w:sz w:val="22"/>
          <w:szCs w:val="22"/>
          <w:lang w:val="el-GR"/>
        </w:rPr>
        <w:t xml:space="preserve">χορήγησης </w:t>
      </w:r>
      <w:r w:rsidR="00412219">
        <w:rPr>
          <w:sz w:val="22"/>
          <w:szCs w:val="22"/>
          <w:lang w:val="el-GR"/>
        </w:rPr>
        <w:t xml:space="preserve">δανείων </w:t>
      </w:r>
      <w:r w:rsidR="00523366" w:rsidRPr="00517B14">
        <w:rPr>
          <w:sz w:val="22"/>
          <w:szCs w:val="22"/>
          <w:lang w:val="el-GR"/>
        </w:rPr>
        <w:t xml:space="preserve">προς </w:t>
      </w:r>
      <w:r w:rsidR="00523366">
        <w:rPr>
          <w:sz w:val="22"/>
          <w:szCs w:val="22"/>
          <w:lang w:val="el-GR"/>
        </w:rPr>
        <w:t xml:space="preserve">νοικοκυριά </w:t>
      </w:r>
      <w:r w:rsidR="00652430">
        <w:rPr>
          <w:sz w:val="22"/>
          <w:szCs w:val="22"/>
          <w:lang w:val="el-GR"/>
        </w:rPr>
        <w:t>παρέμειναν αμετάβλητοι κατά το γ</w:t>
      </w:r>
      <w:r w:rsidR="00523366">
        <w:rPr>
          <w:sz w:val="22"/>
          <w:szCs w:val="22"/>
          <w:lang w:val="el-GR"/>
        </w:rPr>
        <w:t>΄ τρίμηνο του 2024</w:t>
      </w:r>
      <w:r w:rsidR="000645D0">
        <w:rPr>
          <w:sz w:val="22"/>
          <w:szCs w:val="22"/>
          <w:lang w:val="el-GR"/>
        </w:rPr>
        <w:t>. Η ζήτηση</w:t>
      </w:r>
      <w:r w:rsidRPr="00517B14">
        <w:rPr>
          <w:sz w:val="22"/>
          <w:szCs w:val="22"/>
          <w:lang w:val="el-GR"/>
        </w:rPr>
        <w:t xml:space="preserve"> για</w:t>
      </w:r>
      <w:r w:rsidR="00AB0EB1">
        <w:rPr>
          <w:sz w:val="22"/>
          <w:szCs w:val="22"/>
          <w:lang w:val="el-GR"/>
        </w:rPr>
        <w:t xml:space="preserve"> </w:t>
      </w:r>
      <w:r w:rsidRPr="00517B14">
        <w:rPr>
          <w:sz w:val="22"/>
          <w:szCs w:val="22"/>
          <w:lang w:val="el-GR"/>
        </w:rPr>
        <w:t>στεγαστικά</w:t>
      </w:r>
      <w:r w:rsidR="008B5052">
        <w:rPr>
          <w:sz w:val="22"/>
          <w:szCs w:val="22"/>
          <w:lang w:val="el-GR"/>
        </w:rPr>
        <w:t xml:space="preserve"> δάνεια </w:t>
      </w:r>
      <w:r w:rsidR="00652430">
        <w:rPr>
          <w:sz w:val="22"/>
          <w:szCs w:val="22"/>
          <w:lang w:val="el-GR"/>
        </w:rPr>
        <w:t>μειώθηκε</w:t>
      </w:r>
      <w:r w:rsidR="00CA3CC9" w:rsidRPr="002B1EDF">
        <w:rPr>
          <w:sz w:val="22"/>
          <w:szCs w:val="22"/>
          <w:lang w:val="el-GR"/>
        </w:rPr>
        <w:t>,</w:t>
      </w:r>
      <w:r w:rsidR="00552236">
        <w:rPr>
          <w:sz w:val="22"/>
          <w:szCs w:val="22"/>
          <w:lang w:val="el-GR"/>
        </w:rPr>
        <w:t xml:space="preserve"> ενώ </w:t>
      </w:r>
      <w:r w:rsidR="0061369F">
        <w:rPr>
          <w:sz w:val="22"/>
          <w:szCs w:val="22"/>
          <w:lang w:val="el-GR"/>
        </w:rPr>
        <w:t xml:space="preserve">η ζήτηση </w:t>
      </w:r>
      <w:r w:rsidR="00552236">
        <w:rPr>
          <w:sz w:val="22"/>
          <w:szCs w:val="22"/>
          <w:lang w:val="el-GR"/>
        </w:rPr>
        <w:t>για</w:t>
      </w:r>
      <w:r w:rsidRPr="00517B14">
        <w:rPr>
          <w:sz w:val="22"/>
          <w:szCs w:val="22"/>
          <w:lang w:val="el-GR"/>
        </w:rPr>
        <w:t xml:space="preserve"> </w:t>
      </w:r>
      <w:r w:rsidR="00963ACA">
        <w:rPr>
          <w:sz w:val="22"/>
          <w:szCs w:val="22"/>
          <w:lang w:val="el-GR"/>
        </w:rPr>
        <w:t xml:space="preserve">καταναλωτικά </w:t>
      </w:r>
      <w:r w:rsidR="00030D79">
        <w:rPr>
          <w:sz w:val="22"/>
          <w:szCs w:val="22"/>
          <w:lang w:val="el-GR"/>
        </w:rPr>
        <w:t xml:space="preserve">δάνεια </w:t>
      </w:r>
      <w:r w:rsidR="00652430">
        <w:rPr>
          <w:sz w:val="22"/>
          <w:szCs w:val="22"/>
          <w:lang w:val="el-GR"/>
        </w:rPr>
        <w:t xml:space="preserve">παρέμεινε </w:t>
      </w:r>
      <w:r w:rsidR="00AF2A8D">
        <w:rPr>
          <w:sz w:val="22"/>
          <w:szCs w:val="22"/>
          <w:lang w:val="el-GR"/>
        </w:rPr>
        <w:t>σχεδόν αμετάβλητη</w:t>
      </w:r>
      <w:r w:rsidR="00963ACA">
        <w:rPr>
          <w:sz w:val="22"/>
          <w:szCs w:val="22"/>
          <w:lang w:val="el-GR"/>
        </w:rPr>
        <w:t>.</w:t>
      </w:r>
    </w:p>
    <w:p w14:paraId="286364A7" w14:textId="77777777" w:rsidR="0068536A" w:rsidRPr="002B1EDF" w:rsidRDefault="0068536A" w:rsidP="0068536A">
      <w:pPr>
        <w:spacing w:line="360" w:lineRule="auto"/>
        <w:rPr>
          <w:szCs w:val="24"/>
          <w:lang w:val="el-GR"/>
        </w:rPr>
      </w:pPr>
    </w:p>
    <w:p w14:paraId="08192C58" w14:textId="77777777" w:rsidR="00517B14" w:rsidRPr="002B1EDF" w:rsidRDefault="00517B14" w:rsidP="00517B14">
      <w:pPr>
        <w:spacing w:before="120" w:line="360" w:lineRule="auto"/>
        <w:jc w:val="both"/>
        <w:rPr>
          <w:b/>
          <w:color w:val="002060"/>
          <w:szCs w:val="24"/>
          <w:lang w:val="el-GR"/>
        </w:rPr>
      </w:pPr>
      <w:r w:rsidRPr="002B1EDF">
        <w:rPr>
          <w:b/>
          <w:color w:val="002060"/>
          <w:szCs w:val="24"/>
          <w:lang w:val="el-GR"/>
        </w:rPr>
        <w:t>Δάνεια προς</w:t>
      </w:r>
      <w:r w:rsidR="00AE286C" w:rsidRPr="002B1EDF">
        <w:rPr>
          <w:b/>
          <w:color w:val="002060"/>
          <w:szCs w:val="24"/>
          <w:lang w:val="el-GR"/>
        </w:rPr>
        <w:t xml:space="preserve"> τις</w:t>
      </w:r>
      <w:r w:rsidRPr="002B1EDF">
        <w:rPr>
          <w:b/>
          <w:color w:val="002060"/>
          <w:szCs w:val="24"/>
          <w:lang w:val="el-GR"/>
        </w:rPr>
        <w:t xml:space="preserve"> μη χρηματοπιστωτικές επιχειρήσεις</w:t>
      </w:r>
    </w:p>
    <w:p w14:paraId="48C6DEFF" w14:textId="636FA9C6" w:rsidR="00517B14" w:rsidRPr="00517B14" w:rsidRDefault="00B734D2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F02D42">
        <w:rPr>
          <w:sz w:val="22"/>
          <w:szCs w:val="22"/>
          <w:lang w:val="el-GR"/>
        </w:rPr>
        <w:t>γ</w:t>
      </w:r>
      <w:r w:rsidR="005437B5">
        <w:rPr>
          <w:sz w:val="22"/>
          <w:szCs w:val="22"/>
          <w:lang w:val="el-GR"/>
        </w:rPr>
        <w:t>΄ τρίμηνο του 202</w:t>
      </w:r>
      <w:r w:rsidR="00072210">
        <w:rPr>
          <w:sz w:val="22"/>
          <w:szCs w:val="22"/>
          <w:lang w:val="el-GR"/>
        </w:rPr>
        <w:t>4</w:t>
      </w:r>
      <w:r w:rsidR="00517B14" w:rsidRPr="00517B14">
        <w:rPr>
          <w:sz w:val="22"/>
          <w:szCs w:val="22"/>
          <w:lang w:val="el-GR"/>
        </w:rPr>
        <w:t>, τα κριτήρια χορήγησης δανείων προς τις μη χρηματοπιστωτικές επιχειρήσεις (ΜΧΕ) παρέμε</w:t>
      </w:r>
      <w:r w:rsidR="00A9093E">
        <w:rPr>
          <w:sz w:val="22"/>
          <w:szCs w:val="22"/>
          <w:lang w:val="el-GR"/>
        </w:rPr>
        <w:t xml:space="preserve">ιναν </w:t>
      </w:r>
      <w:r w:rsidR="00F02D42">
        <w:rPr>
          <w:sz w:val="22"/>
          <w:szCs w:val="22"/>
          <w:lang w:val="el-GR"/>
        </w:rPr>
        <w:t>αμετάβλητα σε σχέση με το β</w:t>
      </w:r>
      <w:r w:rsidR="0096665E">
        <w:rPr>
          <w:sz w:val="22"/>
          <w:szCs w:val="22"/>
          <w:lang w:val="el-GR"/>
        </w:rPr>
        <w:t>΄ τρίμηνο του 2024</w:t>
      </w:r>
      <w:r w:rsidR="00517B14" w:rsidRPr="00517B14">
        <w:rPr>
          <w:sz w:val="22"/>
          <w:szCs w:val="22"/>
          <w:lang w:val="el-GR"/>
        </w:rPr>
        <w:t xml:space="preserve"> (βλ. Διάγραμμα 1), εξέλιξη σύμφωνη με τις προσδοκίες που είχαν διατυπωθεί στην έρευνα του προηγούμενου τριμήνου. Επιπλέον, οι τράπεζες εκτιμούν</w:t>
      </w:r>
      <w:r>
        <w:rPr>
          <w:sz w:val="22"/>
          <w:szCs w:val="22"/>
          <w:lang w:val="el-GR"/>
        </w:rPr>
        <w:t xml:space="preserve"> ότι τα κριτήρια θα παραμείνουν</w:t>
      </w:r>
      <w:r w:rsidR="00765C5A">
        <w:rPr>
          <w:sz w:val="22"/>
          <w:szCs w:val="22"/>
          <w:lang w:val="el-GR"/>
        </w:rPr>
        <w:t xml:space="preserve"> </w:t>
      </w:r>
      <w:r w:rsidR="00517B14" w:rsidRPr="00517B14">
        <w:rPr>
          <w:sz w:val="22"/>
          <w:szCs w:val="22"/>
          <w:lang w:val="el-GR"/>
        </w:rPr>
        <w:t>αμετά</w:t>
      </w:r>
      <w:r w:rsidR="00A9093E">
        <w:rPr>
          <w:sz w:val="22"/>
          <w:szCs w:val="22"/>
          <w:lang w:val="el-GR"/>
        </w:rPr>
        <w:t xml:space="preserve">βλητα </w:t>
      </w:r>
      <w:r w:rsidR="00BE367A">
        <w:rPr>
          <w:sz w:val="22"/>
          <w:szCs w:val="22"/>
          <w:lang w:val="el-GR"/>
        </w:rPr>
        <w:t xml:space="preserve">και </w:t>
      </w:r>
      <w:r w:rsidR="00A9093E">
        <w:rPr>
          <w:sz w:val="22"/>
          <w:szCs w:val="22"/>
          <w:lang w:val="el-GR"/>
        </w:rPr>
        <w:t>κατά τη διάρκεια του</w:t>
      </w:r>
      <w:r w:rsidR="00F02D42">
        <w:rPr>
          <w:sz w:val="22"/>
          <w:szCs w:val="22"/>
          <w:lang w:val="el-GR"/>
        </w:rPr>
        <w:t xml:space="preserve"> δ</w:t>
      </w:r>
      <w:r w:rsidR="00755416">
        <w:rPr>
          <w:sz w:val="22"/>
          <w:szCs w:val="22"/>
          <w:lang w:val="el-GR"/>
        </w:rPr>
        <w:t>΄ τριμήνου του 2024</w:t>
      </w:r>
      <w:r w:rsidR="00517B14" w:rsidRPr="00517B14">
        <w:rPr>
          <w:sz w:val="22"/>
          <w:szCs w:val="22"/>
          <w:lang w:val="el-GR"/>
        </w:rPr>
        <w:t xml:space="preserve">. </w:t>
      </w:r>
    </w:p>
    <w:p w14:paraId="1065AADD" w14:textId="078D76C4" w:rsidR="00765C5A" w:rsidRDefault="00517B14" w:rsidP="00517B14">
      <w:pPr>
        <w:spacing w:before="120" w:line="360" w:lineRule="auto"/>
        <w:jc w:val="both"/>
        <w:rPr>
          <w:iCs/>
          <w:sz w:val="22"/>
          <w:szCs w:val="22"/>
          <w:lang w:val="el-GR"/>
        </w:rPr>
      </w:pPr>
      <w:r w:rsidRPr="00517B14">
        <w:rPr>
          <w:sz w:val="22"/>
          <w:szCs w:val="22"/>
          <w:lang w:val="el-GR"/>
        </w:rPr>
        <w:t xml:space="preserve">Οι συνολικοί όροι χορήγησης </w:t>
      </w:r>
      <w:r w:rsidR="00765C5A">
        <w:rPr>
          <w:sz w:val="22"/>
          <w:szCs w:val="22"/>
          <w:lang w:val="el-GR"/>
        </w:rPr>
        <w:t xml:space="preserve">δανείων προς τις ΜΧΕ </w:t>
      </w:r>
      <w:r w:rsidR="00F02D42">
        <w:rPr>
          <w:sz w:val="22"/>
          <w:szCs w:val="22"/>
          <w:lang w:val="el-GR"/>
        </w:rPr>
        <w:t xml:space="preserve">παρέμειναν </w:t>
      </w:r>
      <w:r w:rsidR="003A2E0B">
        <w:rPr>
          <w:sz w:val="22"/>
          <w:szCs w:val="22"/>
          <w:lang w:val="el-GR"/>
        </w:rPr>
        <w:t xml:space="preserve">επίσης </w:t>
      </w:r>
      <w:r w:rsidR="00F02D42">
        <w:rPr>
          <w:sz w:val="22"/>
          <w:szCs w:val="22"/>
          <w:lang w:val="el-GR"/>
        </w:rPr>
        <w:t>αμετάβλητοι</w:t>
      </w:r>
      <w:r w:rsidR="002C6FDE">
        <w:rPr>
          <w:sz w:val="22"/>
          <w:szCs w:val="22"/>
          <w:lang w:val="el-GR"/>
        </w:rPr>
        <w:t xml:space="preserve"> σε σχέση με το β</w:t>
      </w:r>
      <w:r w:rsidR="0096665E">
        <w:rPr>
          <w:sz w:val="22"/>
          <w:szCs w:val="22"/>
          <w:lang w:val="el-GR"/>
        </w:rPr>
        <w:t>΄ τρίμηνο του 2024</w:t>
      </w:r>
      <w:r w:rsidR="00DA70DD">
        <w:rPr>
          <w:sz w:val="22"/>
          <w:szCs w:val="22"/>
          <w:lang w:val="el-GR"/>
        </w:rPr>
        <w:t>.</w:t>
      </w:r>
      <w:r w:rsidR="00E402AE">
        <w:rPr>
          <w:sz w:val="22"/>
          <w:szCs w:val="22"/>
          <w:lang w:val="el-GR"/>
        </w:rPr>
        <w:t xml:space="preserve"> </w:t>
      </w:r>
    </w:p>
    <w:p w14:paraId="2758AC0A" w14:textId="655F9E76" w:rsidR="00517B14" w:rsidRPr="00517B14" w:rsidRDefault="00767C8E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2C6FDE">
        <w:rPr>
          <w:sz w:val="22"/>
          <w:szCs w:val="22"/>
          <w:lang w:val="el-GR"/>
        </w:rPr>
        <w:t>γ</w:t>
      </w:r>
      <w:r>
        <w:rPr>
          <w:sz w:val="22"/>
          <w:szCs w:val="22"/>
          <w:lang w:val="el-GR"/>
        </w:rPr>
        <w:t>΄ τρίμηνο του 202</w:t>
      </w:r>
      <w:r w:rsidR="0083706E">
        <w:rPr>
          <w:sz w:val="22"/>
          <w:szCs w:val="22"/>
          <w:lang w:val="el-GR"/>
        </w:rPr>
        <w:t>4</w:t>
      </w:r>
      <w:r>
        <w:rPr>
          <w:sz w:val="22"/>
          <w:szCs w:val="22"/>
          <w:lang w:val="el-GR"/>
        </w:rPr>
        <w:t>, η</w:t>
      </w:r>
      <w:r w:rsidR="00517B14" w:rsidRPr="00517B14">
        <w:rPr>
          <w:sz w:val="22"/>
          <w:szCs w:val="22"/>
          <w:lang w:val="el-GR"/>
        </w:rPr>
        <w:t xml:space="preserve"> συνολική ζήτηση δανείων </w:t>
      </w:r>
      <w:r w:rsidR="007C5E83">
        <w:rPr>
          <w:sz w:val="22"/>
          <w:szCs w:val="22"/>
          <w:lang w:val="el-GR"/>
        </w:rPr>
        <w:t>από</w:t>
      </w:r>
      <w:r w:rsidR="00772419">
        <w:rPr>
          <w:sz w:val="22"/>
          <w:szCs w:val="22"/>
          <w:lang w:val="el-GR"/>
        </w:rPr>
        <w:t xml:space="preserve"> </w:t>
      </w:r>
      <w:r w:rsidR="000C78B0">
        <w:rPr>
          <w:sz w:val="22"/>
          <w:szCs w:val="22"/>
          <w:lang w:val="el-GR"/>
        </w:rPr>
        <w:t xml:space="preserve">τις </w:t>
      </w:r>
      <w:r w:rsidR="00772419">
        <w:rPr>
          <w:sz w:val="22"/>
          <w:szCs w:val="22"/>
          <w:lang w:val="el-GR"/>
        </w:rPr>
        <w:t xml:space="preserve">ΜΧΕ </w:t>
      </w:r>
      <w:r w:rsidR="00E272EE">
        <w:rPr>
          <w:sz w:val="22"/>
          <w:szCs w:val="22"/>
          <w:lang w:val="el-GR"/>
        </w:rPr>
        <w:t xml:space="preserve">(βλ. Διάγραμμα 2) </w:t>
      </w:r>
      <w:r w:rsidR="0096665E">
        <w:rPr>
          <w:sz w:val="22"/>
          <w:szCs w:val="22"/>
          <w:lang w:val="el-GR"/>
        </w:rPr>
        <w:t xml:space="preserve">παρέμεινε </w:t>
      </w:r>
      <w:r w:rsidR="002C6FDE">
        <w:rPr>
          <w:sz w:val="22"/>
          <w:szCs w:val="22"/>
          <w:lang w:val="el-GR"/>
        </w:rPr>
        <w:t xml:space="preserve">σχεδόν </w:t>
      </w:r>
      <w:r w:rsidR="0096665E">
        <w:rPr>
          <w:sz w:val="22"/>
          <w:szCs w:val="22"/>
          <w:lang w:val="el-GR"/>
        </w:rPr>
        <w:t>αμετάβλητη</w:t>
      </w:r>
      <w:r w:rsidR="003A2E0B">
        <w:rPr>
          <w:sz w:val="22"/>
          <w:szCs w:val="22"/>
          <w:lang w:val="el-GR"/>
        </w:rPr>
        <w:t xml:space="preserve">, ενώ </w:t>
      </w:r>
      <w:r w:rsidR="003A2E0B" w:rsidRPr="00517B14">
        <w:rPr>
          <w:sz w:val="22"/>
          <w:szCs w:val="22"/>
          <w:lang w:val="el-GR"/>
        </w:rPr>
        <w:t>αν</w:t>
      </w:r>
      <w:r w:rsidR="003A2E0B">
        <w:rPr>
          <w:sz w:val="22"/>
          <w:szCs w:val="22"/>
          <w:lang w:val="el-GR"/>
        </w:rPr>
        <w:t>αμένεται να παραμείνει αμετάβλητη κατά τ</w:t>
      </w:r>
      <w:r w:rsidR="00517B14" w:rsidRPr="00517B14">
        <w:rPr>
          <w:sz w:val="22"/>
          <w:szCs w:val="22"/>
          <w:lang w:val="el-GR"/>
        </w:rPr>
        <w:t>ο επόμενο</w:t>
      </w:r>
      <w:r w:rsidR="008D08E2">
        <w:rPr>
          <w:sz w:val="22"/>
          <w:szCs w:val="22"/>
          <w:lang w:val="el-GR"/>
        </w:rPr>
        <w:t xml:space="preserve"> τρίμηνο</w:t>
      </w:r>
      <w:r w:rsidR="002C6FDE">
        <w:rPr>
          <w:sz w:val="22"/>
          <w:szCs w:val="22"/>
          <w:lang w:val="el-GR"/>
        </w:rPr>
        <w:t>.</w:t>
      </w:r>
      <w:r w:rsidR="003E6986">
        <w:rPr>
          <w:sz w:val="22"/>
          <w:szCs w:val="22"/>
          <w:lang w:val="el-GR"/>
        </w:rPr>
        <w:t xml:space="preserve"> </w:t>
      </w:r>
    </w:p>
    <w:p w14:paraId="0FCCC79D" w14:textId="77777777" w:rsidR="0068536A" w:rsidRPr="00614A99" w:rsidRDefault="00517B14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 w:rsidRPr="00517B14">
        <w:rPr>
          <w:sz w:val="22"/>
          <w:szCs w:val="22"/>
          <w:lang w:val="el-GR"/>
        </w:rPr>
        <w:t xml:space="preserve">Η αναλογία των αιτήσεων για επιχειρηματικά δάνεια που </w:t>
      </w:r>
      <w:r w:rsidR="00F340A7">
        <w:rPr>
          <w:sz w:val="22"/>
          <w:szCs w:val="22"/>
          <w:lang w:val="el-GR"/>
        </w:rPr>
        <w:t>απορρίφθηκαν παρέ</w:t>
      </w:r>
      <w:r w:rsidR="00F7061F">
        <w:rPr>
          <w:sz w:val="22"/>
          <w:szCs w:val="22"/>
          <w:lang w:val="el-GR"/>
        </w:rPr>
        <w:t xml:space="preserve">μεινε </w:t>
      </w:r>
      <w:r w:rsidRPr="00517B14">
        <w:rPr>
          <w:sz w:val="22"/>
          <w:szCs w:val="22"/>
          <w:lang w:val="el-GR"/>
        </w:rPr>
        <w:t>αμετάβλητη σε σχέση με το προηγούμενο τρίμηνο (βλ. Διάγραμμα 3).</w:t>
      </w:r>
    </w:p>
    <w:p w14:paraId="3E128C8E" w14:textId="7DD5A813" w:rsidR="00B86328" w:rsidRDefault="00B86328" w:rsidP="00517B14">
      <w:pPr>
        <w:spacing w:before="120" w:line="360" w:lineRule="auto"/>
        <w:jc w:val="both"/>
        <w:rPr>
          <w:b/>
          <w:color w:val="002060"/>
          <w:sz w:val="22"/>
          <w:szCs w:val="22"/>
          <w:lang w:val="el-GR"/>
        </w:rPr>
      </w:pPr>
    </w:p>
    <w:p w14:paraId="089DEDB2" w14:textId="77777777" w:rsidR="002C6FDE" w:rsidRDefault="002C6FDE" w:rsidP="00517B14">
      <w:pPr>
        <w:spacing w:before="120" w:line="360" w:lineRule="auto"/>
        <w:jc w:val="both"/>
        <w:rPr>
          <w:b/>
          <w:color w:val="002060"/>
          <w:sz w:val="22"/>
          <w:szCs w:val="22"/>
          <w:lang w:val="el-GR"/>
        </w:rPr>
      </w:pPr>
    </w:p>
    <w:p w14:paraId="63B3BB54" w14:textId="77777777" w:rsidR="002E479E" w:rsidRDefault="002E479E" w:rsidP="00517B14">
      <w:pPr>
        <w:spacing w:before="120" w:line="360" w:lineRule="auto"/>
        <w:jc w:val="both"/>
        <w:rPr>
          <w:b/>
          <w:color w:val="002060"/>
          <w:sz w:val="22"/>
          <w:szCs w:val="22"/>
          <w:lang w:val="el-GR"/>
        </w:rPr>
      </w:pPr>
    </w:p>
    <w:p w14:paraId="6888F973" w14:textId="7547EF49" w:rsidR="00517B14" w:rsidRPr="002B1EDF" w:rsidRDefault="00517B14" w:rsidP="00517B14">
      <w:pPr>
        <w:spacing w:before="120" w:line="360" w:lineRule="auto"/>
        <w:jc w:val="both"/>
        <w:rPr>
          <w:b/>
          <w:color w:val="002060"/>
          <w:szCs w:val="24"/>
          <w:lang w:val="el-GR"/>
        </w:rPr>
      </w:pPr>
      <w:r w:rsidRPr="002B1EDF">
        <w:rPr>
          <w:b/>
          <w:color w:val="002060"/>
          <w:szCs w:val="24"/>
          <w:lang w:val="el-GR"/>
        </w:rPr>
        <w:lastRenderedPageBreak/>
        <w:t>Δάνεια προς νοικοκυριά</w:t>
      </w:r>
    </w:p>
    <w:p w14:paraId="4A201128" w14:textId="0E88CC54" w:rsidR="00F90B73" w:rsidRDefault="00371C14" w:rsidP="00F90B73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770D0D">
        <w:rPr>
          <w:sz w:val="22"/>
          <w:szCs w:val="22"/>
          <w:lang w:val="el-GR"/>
        </w:rPr>
        <w:t>γ</w:t>
      </w:r>
      <w:r w:rsidR="00F36B9D">
        <w:rPr>
          <w:sz w:val="22"/>
          <w:szCs w:val="22"/>
          <w:lang w:val="el-GR"/>
        </w:rPr>
        <w:t>΄ τρίμηνο του 202</w:t>
      </w:r>
      <w:r w:rsidR="004E4C3C">
        <w:rPr>
          <w:sz w:val="22"/>
          <w:szCs w:val="22"/>
          <w:lang w:val="el-GR"/>
        </w:rPr>
        <w:t>4</w:t>
      </w:r>
      <w:r w:rsidR="00AA196A">
        <w:rPr>
          <w:sz w:val="22"/>
          <w:szCs w:val="22"/>
          <w:lang w:val="el-GR"/>
        </w:rPr>
        <w:t>,</w:t>
      </w:r>
      <w:r w:rsidR="00517B14" w:rsidRPr="00517B14">
        <w:rPr>
          <w:sz w:val="22"/>
          <w:szCs w:val="22"/>
          <w:lang w:val="el-GR"/>
        </w:rPr>
        <w:t xml:space="preserve"> τα κριτήρια </w:t>
      </w:r>
      <w:r w:rsidR="0099010E" w:rsidRPr="00517B14">
        <w:rPr>
          <w:sz w:val="22"/>
          <w:szCs w:val="22"/>
          <w:lang w:val="el-GR"/>
        </w:rPr>
        <w:t xml:space="preserve">χορήγησης δανείων προς </w:t>
      </w:r>
      <w:r w:rsidR="0099010E">
        <w:rPr>
          <w:sz w:val="22"/>
          <w:szCs w:val="22"/>
          <w:lang w:val="el-GR"/>
        </w:rPr>
        <w:t>τα νοικοκυριά</w:t>
      </w:r>
      <w:r w:rsidR="0099010E" w:rsidRPr="00517B14">
        <w:rPr>
          <w:sz w:val="22"/>
          <w:szCs w:val="22"/>
          <w:lang w:val="el-GR"/>
        </w:rPr>
        <w:t xml:space="preserve"> </w:t>
      </w:r>
      <w:r w:rsidR="001B0697">
        <w:rPr>
          <w:sz w:val="22"/>
          <w:szCs w:val="22"/>
          <w:lang w:val="el-GR"/>
        </w:rPr>
        <w:t>παρέμε</w:t>
      </w:r>
      <w:r w:rsidR="004536B7">
        <w:rPr>
          <w:sz w:val="22"/>
          <w:szCs w:val="22"/>
          <w:lang w:val="el-GR"/>
        </w:rPr>
        <w:t>ιναν αμετάβλητα σε σχέση με το β</w:t>
      </w:r>
      <w:r w:rsidR="001B0697">
        <w:rPr>
          <w:sz w:val="22"/>
          <w:szCs w:val="22"/>
          <w:lang w:val="el-GR"/>
        </w:rPr>
        <w:t>΄ τρίμηνο του 2024</w:t>
      </w:r>
      <w:r w:rsidR="007A1638" w:rsidRPr="007A1638">
        <w:rPr>
          <w:sz w:val="22"/>
          <w:szCs w:val="22"/>
          <w:lang w:val="el-GR"/>
        </w:rPr>
        <w:t xml:space="preserve"> </w:t>
      </w:r>
      <w:r w:rsidR="007A1638" w:rsidRPr="00517B14">
        <w:rPr>
          <w:sz w:val="22"/>
          <w:szCs w:val="22"/>
          <w:lang w:val="el-GR"/>
        </w:rPr>
        <w:t>(βλ. Διάγραμμα 1)</w:t>
      </w:r>
      <w:r w:rsidR="00A861AC">
        <w:rPr>
          <w:sz w:val="22"/>
          <w:szCs w:val="22"/>
          <w:lang w:val="el-GR"/>
        </w:rPr>
        <w:t>.</w:t>
      </w:r>
      <w:r w:rsidR="004E4C3C">
        <w:rPr>
          <w:sz w:val="22"/>
          <w:szCs w:val="22"/>
          <w:lang w:val="el-GR"/>
        </w:rPr>
        <w:t xml:space="preserve"> </w:t>
      </w:r>
      <w:r w:rsidR="0099010E">
        <w:rPr>
          <w:sz w:val="22"/>
          <w:szCs w:val="22"/>
          <w:lang w:val="el-GR"/>
        </w:rPr>
        <w:t>Ο</w:t>
      </w:r>
      <w:r w:rsidR="00517B14" w:rsidRPr="00517B14">
        <w:rPr>
          <w:sz w:val="22"/>
          <w:szCs w:val="22"/>
          <w:lang w:val="el-GR"/>
        </w:rPr>
        <w:t xml:space="preserve">ι συνολικοί όροι χορήγησης </w:t>
      </w:r>
      <w:r w:rsidR="00F90B73">
        <w:rPr>
          <w:sz w:val="22"/>
          <w:szCs w:val="22"/>
          <w:lang w:val="el-GR"/>
        </w:rPr>
        <w:t xml:space="preserve">στεγαστικών </w:t>
      </w:r>
      <w:r w:rsidR="00A861AC">
        <w:rPr>
          <w:sz w:val="22"/>
          <w:szCs w:val="22"/>
          <w:lang w:val="el-GR"/>
        </w:rPr>
        <w:t xml:space="preserve">και καταναλωτικών </w:t>
      </w:r>
      <w:r w:rsidR="00517B14" w:rsidRPr="00517B14">
        <w:rPr>
          <w:sz w:val="22"/>
          <w:szCs w:val="22"/>
          <w:lang w:val="el-GR"/>
        </w:rPr>
        <w:t xml:space="preserve">δανείων </w:t>
      </w:r>
      <w:r w:rsidR="00A861AC">
        <w:rPr>
          <w:sz w:val="22"/>
          <w:szCs w:val="22"/>
          <w:lang w:val="el-GR"/>
        </w:rPr>
        <w:t>παρέμειναν επίσης</w:t>
      </w:r>
      <w:r w:rsidR="0034293F">
        <w:rPr>
          <w:sz w:val="22"/>
          <w:szCs w:val="22"/>
          <w:lang w:val="el-GR"/>
        </w:rPr>
        <w:t xml:space="preserve"> αμετάβλητοι.</w:t>
      </w:r>
      <w:r w:rsidR="001B1CC6">
        <w:rPr>
          <w:sz w:val="22"/>
          <w:szCs w:val="22"/>
          <w:lang w:val="el-GR"/>
        </w:rPr>
        <w:t xml:space="preserve"> </w:t>
      </w:r>
      <w:r w:rsidR="00F90B73" w:rsidRPr="00517B14">
        <w:rPr>
          <w:sz w:val="22"/>
          <w:szCs w:val="22"/>
          <w:lang w:val="el-GR"/>
        </w:rPr>
        <w:t xml:space="preserve">Τα κριτήρια χορήγησης </w:t>
      </w:r>
      <w:r w:rsidR="00F90B73">
        <w:rPr>
          <w:sz w:val="22"/>
          <w:szCs w:val="22"/>
          <w:lang w:val="el-GR"/>
        </w:rPr>
        <w:t>στεγαστικών</w:t>
      </w:r>
      <w:r w:rsidR="00F90B73" w:rsidRPr="00517B14">
        <w:rPr>
          <w:sz w:val="22"/>
          <w:szCs w:val="22"/>
          <w:lang w:val="el-GR"/>
        </w:rPr>
        <w:t xml:space="preserve"> </w:t>
      </w:r>
      <w:r w:rsidR="00F90B73">
        <w:rPr>
          <w:sz w:val="22"/>
          <w:szCs w:val="22"/>
          <w:lang w:val="el-GR"/>
        </w:rPr>
        <w:t xml:space="preserve">και καταναλωτικών δανείων </w:t>
      </w:r>
      <w:r w:rsidR="00F90B73" w:rsidRPr="00517B14">
        <w:rPr>
          <w:sz w:val="22"/>
          <w:szCs w:val="22"/>
          <w:lang w:val="el-GR"/>
        </w:rPr>
        <w:t xml:space="preserve">αναμένεται να </w:t>
      </w:r>
      <w:r w:rsidR="00F90B73">
        <w:rPr>
          <w:sz w:val="22"/>
          <w:szCs w:val="22"/>
          <w:lang w:val="el-GR"/>
        </w:rPr>
        <w:t>παραμείνουν α</w:t>
      </w:r>
      <w:r w:rsidR="00A861AC">
        <w:rPr>
          <w:sz w:val="22"/>
          <w:szCs w:val="22"/>
          <w:lang w:val="el-GR"/>
        </w:rPr>
        <w:t xml:space="preserve">μετάβλητα </w:t>
      </w:r>
      <w:r w:rsidR="00762068">
        <w:rPr>
          <w:sz w:val="22"/>
          <w:szCs w:val="22"/>
          <w:lang w:val="el-GR"/>
        </w:rPr>
        <w:t xml:space="preserve">και </w:t>
      </w:r>
      <w:r w:rsidR="004536B7">
        <w:rPr>
          <w:sz w:val="22"/>
          <w:szCs w:val="22"/>
          <w:lang w:val="el-GR"/>
        </w:rPr>
        <w:t>κατά τη διάρκεια του δ</w:t>
      </w:r>
      <w:r w:rsidR="00F90B73">
        <w:rPr>
          <w:sz w:val="22"/>
          <w:szCs w:val="22"/>
          <w:lang w:val="el-GR"/>
        </w:rPr>
        <w:t xml:space="preserve">΄ τριμήνου του 2024. </w:t>
      </w:r>
    </w:p>
    <w:p w14:paraId="6A1A1855" w14:textId="204F0197" w:rsidR="000F4200" w:rsidRDefault="003744C4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Η ζήτηση </w:t>
      </w:r>
      <w:r w:rsidR="00517B14" w:rsidRPr="00517B14">
        <w:rPr>
          <w:sz w:val="22"/>
          <w:szCs w:val="22"/>
          <w:lang w:val="el-GR"/>
        </w:rPr>
        <w:t>για</w:t>
      </w:r>
      <w:r w:rsidR="00E2687F">
        <w:rPr>
          <w:sz w:val="22"/>
          <w:szCs w:val="22"/>
          <w:lang w:val="el-GR"/>
        </w:rPr>
        <w:t xml:space="preserve"> </w:t>
      </w:r>
      <w:r w:rsidR="00F36B9D">
        <w:rPr>
          <w:sz w:val="22"/>
          <w:szCs w:val="22"/>
          <w:lang w:val="el-GR"/>
        </w:rPr>
        <w:t xml:space="preserve">τα </w:t>
      </w:r>
      <w:r w:rsidR="0099010E">
        <w:rPr>
          <w:sz w:val="22"/>
          <w:szCs w:val="22"/>
          <w:lang w:val="el-GR"/>
        </w:rPr>
        <w:t>στεγαστ</w:t>
      </w:r>
      <w:r w:rsidR="00493812">
        <w:rPr>
          <w:sz w:val="22"/>
          <w:szCs w:val="22"/>
          <w:lang w:val="el-GR"/>
        </w:rPr>
        <w:t xml:space="preserve">ικά δάνεια </w:t>
      </w:r>
      <w:r w:rsidR="004536B7">
        <w:rPr>
          <w:sz w:val="22"/>
          <w:szCs w:val="22"/>
          <w:lang w:val="el-GR"/>
        </w:rPr>
        <w:t>μειώθηκε</w:t>
      </w:r>
      <w:r w:rsidR="00AA196A">
        <w:rPr>
          <w:sz w:val="22"/>
          <w:szCs w:val="22"/>
          <w:lang w:val="el-GR"/>
        </w:rPr>
        <w:t>,</w:t>
      </w:r>
      <w:r w:rsidR="004536B7">
        <w:rPr>
          <w:sz w:val="22"/>
          <w:szCs w:val="22"/>
          <w:lang w:val="el-GR"/>
        </w:rPr>
        <w:t xml:space="preserve"> λόγω του επιπέδου των επιτοκίων</w:t>
      </w:r>
      <w:r w:rsidR="00371C14">
        <w:rPr>
          <w:sz w:val="22"/>
          <w:szCs w:val="22"/>
          <w:lang w:val="el-GR"/>
        </w:rPr>
        <w:t xml:space="preserve"> </w:t>
      </w:r>
      <w:r w:rsidR="004536B7">
        <w:rPr>
          <w:sz w:val="22"/>
          <w:szCs w:val="22"/>
          <w:lang w:val="el-GR"/>
        </w:rPr>
        <w:t xml:space="preserve">και </w:t>
      </w:r>
      <w:r w:rsidR="005C55D9">
        <w:rPr>
          <w:sz w:val="22"/>
          <w:szCs w:val="22"/>
          <w:lang w:val="el-GR"/>
        </w:rPr>
        <w:t>της στάσης αναμονής που τηρού</w:t>
      </w:r>
      <w:r w:rsidR="004536B7">
        <w:rPr>
          <w:sz w:val="22"/>
          <w:szCs w:val="22"/>
          <w:lang w:val="el-GR"/>
        </w:rPr>
        <w:t>ν</w:t>
      </w:r>
      <w:r w:rsidR="005C55D9">
        <w:rPr>
          <w:sz w:val="22"/>
          <w:szCs w:val="22"/>
          <w:lang w:val="el-GR"/>
        </w:rPr>
        <w:t xml:space="preserve"> </w:t>
      </w:r>
      <w:r w:rsidR="008D295D">
        <w:rPr>
          <w:sz w:val="22"/>
          <w:szCs w:val="22"/>
          <w:lang w:val="el-GR"/>
        </w:rPr>
        <w:t>τα νοικοκυριά</w:t>
      </w:r>
      <w:r w:rsidR="005C55D9">
        <w:rPr>
          <w:sz w:val="22"/>
          <w:szCs w:val="22"/>
          <w:lang w:val="el-GR"/>
        </w:rPr>
        <w:t xml:space="preserve"> ενόψει της αναγγελίας του επιδοτούμενου στεγαστικού προγράμματος «Σπίτι μου </w:t>
      </w:r>
      <w:r w:rsidR="00900689">
        <w:rPr>
          <w:sz w:val="22"/>
          <w:szCs w:val="22"/>
          <w:lang w:val="en-US"/>
        </w:rPr>
        <w:t>II</w:t>
      </w:r>
      <w:r w:rsidR="005C55D9">
        <w:rPr>
          <w:sz w:val="22"/>
          <w:szCs w:val="22"/>
          <w:lang w:val="el-GR"/>
        </w:rPr>
        <w:t>»</w:t>
      </w:r>
      <w:r w:rsidR="004536B7">
        <w:rPr>
          <w:sz w:val="22"/>
          <w:szCs w:val="22"/>
          <w:lang w:val="el-GR"/>
        </w:rPr>
        <w:t xml:space="preserve">. Η ζήτηση </w:t>
      </w:r>
      <w:r w:rsidR="00371C14">
        <w:rPr>
          <w:sz w:val="22"/>
          <w:szCs w:val="22"/>
          <w:lang w:val="el-GR"/>
        </w:rPr>
        <w:t xml:space="preserve">για </w:t>
      </w:r>
      <w:r w:rsidR="000560DB">
        <w:rPr>
          <w:sz w:val="22"/>
          <w:szCs w:val="22"/>
          <w:lang w:val="el-GR"/>
        </w:rPr>
        <w:t xml:space="preserve">τα </w:t>
      </w:r>
      <w:r w:rsidR="0099010E">
        <w:rPr>
          <w:sz w:val="22"/>
          <w:szCs w:val="22"/>
          <w:lang w:val="el-GR"/>
        </w:rPr>
        <w:t>καταναλωτικά</w:t>
      </w:r>
      <w:r w:rsidR="0099010E" w:rsidRPr="00517B14">
        <w:rPr>
          <w:sz w:val="22"/>
          <w:szCs w:val="22"/>
          <w:lang w:val="el-GR"/>
        </w:rPr>
        <w:t xml:space="preserve"> </w:t>
      </w:r>
      <w:r w:rsidR="00517B14" w:rsidRPr="00517B14">
        <w:rPr>
          <w:sz w:val="22"/>
          <w:szCs w:val="22"/>
          <w:lang w:val="el-GR"/>
        </w:rPr>
        <w:t xml:space="preserve">δάνεια </w:t>
      </w:r>
      <w:r w:rsidR="004536B7">
        <w:rPr>
          <w:sz w:val="22"/>
          <w:szCs w:val="22"/>
          <w:lang w:val="el-GR"/>
        </w:rPr>
        <w:t xml:space="preserve">παρέμεινε </w:t>
      </w:r>
      <w:r w:rsidR="00CD29DD">
        <w:rPr>
          <w:sz w:val="22"/>
          <w:szCs w:val="22"/>
          <w:lang w:val="el-GR"/>
        </w:rPr>
        <w:t>σχεδόν αμετάβλητη</w:t>
      </w:r>
      <w:r w:rsidR="00F36B9D">
        <w:rPr>
          <w:sz w:val="22"/>
          <w:szCs w:val="22"/>
          <w:lang w:val="el-GR"/>
        </w:rPr>
        <w:t xml:space="preserve"> </w:t>
      </w:r>
      <w:r w:rsidR="00230EF6">
        <w:rPr>
          <w:sz w:val="22"/>
          <w:szCs w:val="22"/>
          <w:lang w:val="el-GR"/>
        </w:rPr>
        <w:t>(βλ. Διάγραμμα 2)</w:t>
      </w:r>
      <w:r w:rsidR="00F36B9D">
        <w:rPr>
          <w:sz w:val="22"/>
          <w:szCs w:val="22"/>
          <w:lang w:val="el-GR"/>
        </w:rPr>
        <w:t>.</w:t>
      </w:r>
      <w:r w:rsidR="003B6F76">
        <w:rPr>
          <w:sz w:val="22"/>
          <w:szCs w:val="22"/>
          <w:lang w:val="el-GR"/>
        </w:rPr>
        <w:t xml:space="preserve"> </w:t>
      </w:r>
      <w:r w:rsidR="004536B7">
        <w:rPr>
          <w:sz w:val="22"/>
          <w:szCs w:val="22"/>
          <w:lang w:val="el-GR"/>
        </w:rPr>
        <w:t>Για το δ</w:t>
      </w:r>
      <w:r w:rsidR="002A1307">
        <w:rPr>
          <w:sz w:val="22"/>
          <w:szCs w:val="22"/>
          <w:lang w:val="el-GR"/>
        </w:rPr>
        <w:t>’ τρίμηνο του 2024</w:t>
      </w:r>
      <w:r w:rsidR="00BF53AB">
        <w:rPr>
          <w:sz w:val="22"/>
          <w:szCs w:val="22"/>
          <w:lang w:val="el-GR"/>
        </w:rPr>
        <w:t>, η</w:t>
      </w:r>
      <w:r w:rsidR="007A773E">
        <w:rPr>
          <w:sz w:val="22"/>
          <w:szCs w:val="22"/>
          <w:lang w:val="el-GR"/>
        </w:rPr>
        <w:t xml:space="preserve"> ζήτηση</w:t>
      </w:r>
      <w:r w:rsidR="00715C8C">
        <w:rPr>
          <w:sz w:val="22"/>
          <w:szCs w:val="22"/>
          <w:lang w:val="el-GR"/>
        </w:rPr>
        <w:t xml:space="preserve"> </w:t>
      </w:r>
      <w:r w:rsidR="000F4200">
        <w:rPr>
          <w:sz w:val="22"/>
          <w:szCs w:val="22"/>
          <w:lang w:val="el-GR"/>
        </w:rPr>
        <w:t xml:space="preserve">για </w:t>
      </w:r>
      <w:r w:rsidR="003E2225">
        <w:rPr>
          <w:sz w:val="22"/>
          <w:szCs w:val="22"/>
          <w:lang w:val="el-GR"/>
        </w:rPr>
        <w:t>στεγαστικ</w:t>
      </w:r>
      <w:r w:rsidR="00715C8C">
        <w:rPr>
          <w:sz w:val="22"/>
          <w:szCs w:val="22"/>
          <w:lang w:val="el-GR"/>
        </w:rPr>
        <w:t>ά</w:t>
      </w:r>
      <w:r w:rsidR="005166FF">
        <w:rPr>
          <w:sz w:val="22"/>
          <w:szCs w:val="22"/>
          <w:lang w:val="el-GR"/>
        </w:rPr>
        <w:t xml:space="preserve"> </w:t>
      </w:r>
      <w:r w:rsidR="003A2E0B">
        <w:rPr>
          <w:sz w:val="22"/>
          <w:szCs w:val="22"/>
          <w:lang w:val="el-GR"/>
        </w:rPr>
        <w:t xml:space="preserve">δάνεια </w:t>
      </w:r>
      <w:r w:rsidR="00491B05">
        <w:rPr>
          <w:sz w:val="22"/>
          <w:szCs w:val="22"/>
          <w:lang w:val="el-GR"/>
        </w:rPr>
        <w:t>αναμένεται να παραμείνει σχεδόν αμετάβλητη</w:t>
      </w:r>
      <w:r w:rsidR="003A2E0B">
        <w:rPr>
          <w:sz w:val="22"/>
          <w:szCs w:val="22"/>
          <w:lang w:val="el-GR"/>
        </w:rPr>
        <w:t>,</w:t>
      </w:r>
      <w:r w:rsidR="00491B05">
        <w:rPr>
          <w:sz w:val="22"/>
          <w:szCs w:val="22"/>
          <w:lang w:val="el-GR"/>
        </w:rPr>
        <w:t xml:space="preserve"> ενώ</w:t>
      </w:r>
      <w:r w:rsidR="0072347B">
        <w:rPr>
          <w:sz w:val="22"/>
          <w:szCs w:val="22"/>
          <w:lang w:val="el-GR"/>
        </w:rPr>
        <w:t xml:space="preserve"> για</w:t>
      </w:r>
      <w:r w:rsidR="00FF1DE2">
        <w:rPr>
          <w:sz w:val="22"/>
          <w:szCs w:val="22"/>
          <w:lang w:val="el-GR"/>
        </w:rPr>
        <w:t xml:space="preserve"> καταναλωτικά </w:t>
      </w:r>
      <w:r w:rsidR="00890DD7">
        <w:rPr>
          <w:sz w:val="22"/>
          <w:szCs w:val="22"/>
          <w:lang w:val="el-GR"/>
        </w:rPr>
        <w:t xml:space="preserve">δάνεια </w:t>
      </w:r>
      <w:r w:rsidR="000C4414">
        <w:rPr>
          <w:sz w:val="22"/>
          <w:szCs w:val="22"/>
          <w:lang w:val="el-GR"/>
        </w:rPr>
        <w:t xml:space="preserve">αναμένεται να </w:t>
      </w:r>
      <w:r w:rsidR="000560DB">
        <w:rPr>
          <w:sz w:val="22"/>
          <w:szCs w:val="22"/>
          <w:lang w:val="el-GR"/>
        </w:rPr>
        <w:t>παραμείνει</w:t>
      </w:r>
      <w:r w:rsidR="00FF1DE2">
        <w:rPr>
          <w:sz w:val="22"/>
          <w:szCs w:val="22"/>
          <w:lang w:val="el-GR"/>
        </w:rPr>
        <w:t xml:space="preserve"> </w:t>
      </w:r>
      <w:r w:rsidR="00F2150C">
        <w:rPr>
          <w:sz w:val="22"/>
          <w:szCs w:val="22"/>
          <w:lang w:val="el-GR"/>
        </w:rPr>
        <w:t>αμετάβλητη</w:t>
      </w:r>
      <w:r w:rsidR="00FF1DE2">
        <w:rPr>
          <w:sz w:val="22"/>
          <w:szCs w:val="22"/>
          <w:lang w:val="el-GR"/>
        </w:rPr>
        <w:t xml:space="preserve">. </w:t>
      </w:r>
    </w:p>
    <w:p w14:paraId="3ACA108F" w14:textId="4EF35BF1" w:rsidR="0068536A" w:rsidRDefault="00D675ED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72347B">
        <w:rPr>
          <w:sz w:val="22"/>
          <w:szCs w:val="22"/>
          <w:lang w:val="el-GR"/>
        </w:rPr>
        <w:t>γ</w:t>
      </w:r>
      <w:r w:rsidR="000560DB">
        <w:rPr>
          <w:sz w:val="22"/>
          <w:szCs w:val="22"/>
          <w:lang w:val="el-GR"/>
        </w:rPr>
        <w:t>΄ τρίμηνο του 2024</w:t>
      </w:r>
      <w:r w:rsidR="003F178F">
        <w:rPr>
          <w:sz w:val="22"/>
          <w:szCs w:val="22"/>
          <w:lang w:val="el-GR"/>
        </w:rPr>
        <w:t>, η</w:t>
      </w:r>
      <w:r w:rsidR="00517B14" w:rsidRPr="00517B14">
        <w:rPr>
          <w:sz w:val="22"/>
          <w:szCs w:val="22"/>
          <w:lang w:val="el-GR"/>
        </w:rPr>
        <w:t xml:space="preserve"> αναλογία των αιτήσεων για </w:t>
      </w:r>
      <w:r w:rsidR="00CD29DD">
        <w:rPr>
          <w:sz w:val="22"/>
          <w:szCs w:val="22"/>
          <w:lang w:val="el-GR"/>
        </w:rPr>
        <w:t>στεγαστικά</w:t>
      </w:r>
      <w:r w:rsidR="00517B14" w:rsidRPr="00517B14">
        <w:rPr>
          <w:sz w:val="22"/>
          <w:szCs w:val="22"/>
          <w:lang w:val="el-GR"/>
        </w:rPr>
        <w:t xml:space="preserve"> </w:t>
      </w:r>
      <w:r w:rsidR="00CD29DD">
        <w:rPr>
          <w:sz w:val="22"/>
          <w:szCs w:val="22"/>
          <w:lang w:val="el-GR"/>
        </w:rPr>
        <w:t xml:space="preserve">και καταναλωτικά δάνεια </w:t>
      </w:r>
      <w:r w:rsidR="00517B14" w:rsidRPr="00517B14">
        <w:rPr>
          <w:sz w:val="22"/>
          <w:szCs w:val="22"/>
          <w:lang w:val="el-GR"/>
        </w:rPr>
        <w:t xml:space="preserve">που </w:t>
      </w:r>
      <w:r w:rsidR="00B81F61">
        <w:rPr>
          <w:sz w:val="22"/>
          <w:szCs w:val="22"/>
          <w:lang w:val="el-GR"/>
        </w:rPr>
        <w:t xml:space="preserve">απορρίφθηκαν </w:t>
      </w:r>
      <w:r w:rsidR="00AB16D7">
        <w:rPr>
          <w:sz w:val="22"/>
          <w:szCs w:val="22"/>
          <w:lang w:val="el-GR"/>
        </w:rPr>
        <w:t>παρέμεινε</w:t>
      </w:r>
      <w:r w:rsidR="000560DB">
        <w:rPr>
          <w:sz w:val="22"/>
          <w:szCs w:val="22"/>
          <w:lang w:val="el-GR"/>
        </w:rPr>
        <w:t xml:space="preserve"> </w:t>
      </w:r>
      <w:r w:rsidR="003C0F8C">
        <w:rPr>
          <w:sz w:val="22"/>
          <w:szCs w:val="22"/>
          <w:lang w:val="el-GR"/>
        </w:rPr>
        <w:t>αμετάβλητη</w:t>
      </w:r>
      <w:r w:rsidR="00CD29DD">
        <w:rPr>
          <w:sz w:val="22"/>
          <w:szCs w:val="22"/>
          <w:lang w:val="el-GR"/>
        </w:rPr>
        <w:t xml:space="preserve"> </w:t>
      </w:r>
      <w:r w:rsidR="00517B14" w:rsidRPr="00517B14">
        <w:rPr>
          <w:sz w:val="22"/>
          <w:szCs w:val="22"/>
          <w:lang w:val="el-GR"/>
        </w:rPr>
        <w:t>(βλ. Διάγραμμα 3).</w:t>
      </w:r>
    </w:p>
    <w:p w14:paraId="74EA0CEC" w14:textId="77777777" w:rsidR="00B76824" w:rsidRDefault="00B76824" w:rsidP="00517B14">
      <w:pPr>
        <w:spacing w:before="120" w:line="360" w:lineRule="auto"/>
        <w:jc w:val="both"/>
        <w:rPr>
          <w:sz w:val="22"/>
          <w:szCs w:val="22"/>
          <w:lang w:val="el-GR"/>
        </w:rPr>
      </w:pPr>
    </w:p>
    <w:p w14:paraId="51FEA4CE" w14:textId="77777777" w:rsidR="00236C11" w:rsidRPr="00B81F61" w:rsidRDefault="00236C11" w:rsidP="00517B14">
      <w:pPr>
        <w:spacing w:before="120" w:line="360" w:lineRule="auto"/>
        <w:jc w:val="both"/>
        <w:rPr>
          <w:sz w:val="22"/>
          <w:szCs w:val="22"/>
          <w:lang w:val="el-GR"/>
        </w:rPr>
      </w:pPr>
    </w:p>
    <w:p w14:paraId="31056268" w14:textId="77777777" w:rsidR="00517B14" w:rsidRDefault="00236C11" w:rsidP="00517B14">
      <w:pPr>
        <w:spacing w:line="360" w:lineRule="auto"/>
        <w:jc w:val="both"/>
        <w:rPr>
          <w:i/>
          <w:iCs/>
          <w:color w:val="002060"/>
          <w:sz w:val="22"/>
          <w:szCs w:val="22"/>
          <w:lang w:val="el-GR"/>
        </w:rPr>
      </w:pPr>
      <w:r>
        <w:rPr>
          <w:b/>
          <w:iCs/>
          <w:color w:val="002060"/>
          <w:sz w:val="22"/>
          <w:szCs w:val="22"/>
          <w:lang w:val="el-GR"/>
        </w:rPr>
        <w:t xml:space="preserve">   </w:t>
      </w:r>
      <w:r w:rsidR="00517B14" w:rsidRPr="00517B14">
        <w:rPr>
          <w:b/>
          <w:iCs/>
          <w:color w:val="002060"/>
          <w:sz w:val="22"/>
          <w:szCs w:val="22"/>
          <w:lang w:val="el-GR"/>
        </w:rPr>
        <w:t xml:space="preserve">Διάγραμμα 1 - Πιστοδοτικά Κριτήρια </w:t>
      </w:r>
      <w:r w:rsidR="00517B14" w:rsidRPr="00517B14">
        <w:rPr>
          <w:i/>
          <w:iCs/>
          <w:color w:val="002060"/>
          <w:sz w:val="22"/>
          <w:szCs w:val="22"/>
          <w:lang w:val="el-GR"/>
        </w:rPr>
        <w:t>(μέσος όρος)</w:t>
      </w:r>
    </w:p>
    <w:p w14:paraId="369CF504" w14:textId="1DB0066D" w:rsidR="0018352B" w:rsidRPr="00184218" w:rsidRDefault="000253FC" w:rsidP="00517B14">
      <w:pPr>
        <w:spacing w:line="360" w:lineRule="auto"/>
        <w:jc w:val="both"/>
        <w:rPr>
          <w:i/>
          <w:iCs/>
          <w:color w:val="002060"/>
          <w:sz w:val="22"/>
          <w:szCs w:val="22"/>
          <w:lang w:val="en-US"/>
        </w:rPr>
      </w:pPr>
      <w:r w:rsidRPr="0018352B">
        <w:rPr>
          <w:noProof/>
          <w:lang w:val="el-GR"/>
        </w:rPr>
        <w:t xml:space="preserve"> </w:t>
      </w:r>
      <w:r w:rsidR="00B24E84">
        <w:rPr>
          <w:noProof/>
          <w:lang w:val="en-US" w:eastAsia="en-US"/>
        </w:rPr>
        <w:drawing>
          <wp:inline distT="0" distB="0" distL="0" distR="0" wp14:anchorId="556CB163" wp14:editId="29041BEC">
            <wp:extent cx="4603115" cy="26701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06E00" w14:textId="77777777" w:rsidR="00B76824" w:rsidRDefault="00B76824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7A38BDC7" w14:textId="77777777" w:rsidR="00B76824" w:rsidRDefault="00B76824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6DD57BF1" w14:textId="77777777" w:rsidR="00B76824" w:rsidRDefault="00B76824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5386B6EF" w14:textId="124CCB09" w:rsidR="00354212" w:rsidRDefault="00354212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2715CDC5" w14:textId="77777777" w:rsidR="00354212" w:rsidRDefault="00354212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3E554697" w14:textId="77777777" w:rsidR="00EB0757" w:rsidRPr="00EB0757" w:rsidRDefault="00EB0757" w:rsidP="00CC0BDF">
      <w:pPr>
        <w:keepNext/>
        <w:widowControl w:val="0"/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  <w:r w:rsidRPr="00EB0757">
        <w:rPr>
          <w:b/>
          <w:iCs/>
          <w:noProof/>
          <w:color w:val="002060"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5CA2" wp14:editId="10CC6A74">
                <wp:simplePos x="0" y="0"/>
                <wp:positionH relativeFrom="column">
                  <wp:posOffset>-3916680</wp:posOffset>
                </wp:positionH>
                <wp:positionV relativeFrom="paragraph">
                  <wp:posOffset>41910</wp:posOffset>
                </wp:positionV>
                <wp:extent cx="2076450" cy="2190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A002C" w14:textId="77777777" w:rsidR="00EB0757" w:rsidRDefault="00EB0757" w:rsidP="00EB07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7E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χαλάρωση κριτηρίων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765C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8.4pt;margin-top:3.3pt;width:16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" stroked="f">
                <v:fill opacity="0"/>
                <v:textbox inset="2.16pt,1.8pt,0,0">
                  <w:txbxContent>
                    <w:p w14:paraId="32FA002C" w14:textId="77777777" w:rsidR="00EB0757" w:rsidRDefault="00EB0757" w:rsidP="00EB0757">
                      <w:pPr>
                        <w:pStyle w:val="NormalWeb"/>
                        <w:spacing w:before="0" w:beforeAutospacing="0" w:after="0" w:afterAutospacing="0"/>
                      </w:pPr>
                      <w:r w:rsidRPr="00597E66">
                        <w:rPr>
                          <w:rFonts w:ascii="Calibri" w:hAnsi="Calibri"/>
                          <w:sz w:val="18"/>
                          <w:szCs w:val="18"/>
                        </w:rPr>
                        <w:t>χαλάρωση κριτηρίων</w:t>
                      </w:r>
                    </w:p>
                  </w:txbxContent>
                </v:textbox>
              </v:shape>
            </w:pict>
          </mc:Fallback>
        </mc:AlternateContent>
      </w:r>
      <w:r w:rsidRPr="00EB0757">
        <w:rPr>
          <w:b/>
          <w:iCs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8F14" wp14:editId="1BA9A8D1">
                <wp:simplePos x="0" y="0"/>
                <wp:positionH relativeFrom="column">
                  <wp:posOffset>-3968115</wp:posOffset>
                </wp:positionH>
                <wp:positionV relativeFrom="paragraph">
                  <wp:posOffset>45085</wp:posOffset>
                </wp:positionV>
                <wp:extent cx="1943100" cy="152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24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8EB29" w14:textId="77777777" w:rsidR="00EB0757" w:rsidRDefault="00EB0757" w:rsidP="00EB07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7E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αυστηροποίηση κριτηρίων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C8F14" id="Text Box 7" o:spid="_x0000_s1027" type="#_x0000_t202" style="position:absolute;left:0;text-align:left;margin-left:-312.45pt;margin-top:3.55pt;width:15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" stroked="f">
                <v:fill opacity="0"/>
                <v:textbox inset="2.16pt,1.8pt,0,0">
                  <w:txbxContent>
                    <w:p w14:paraId="6B18EB29" w14:textId="77777777" w:rsidR="00EB0757" w:rsidRDefault="00EB0757" w:rsidP="00EB0757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 w:rsidRPr="00597E66">
                        <w:rPr>
                          <w:rFonts w:ascii="Calibri" w:hAnsi="Calibri"/>
                          <w:sz w:val="18"/>
                          <w:szCs w:val="18"/>
                        </w:rPr>
                        <w:t>αυστηροποίηση</w:t>
                      </w:r>
                      <w:proofErr w:type="spellEnd"/>
                      <w:r w:rsidRPr="00597E6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κριτηρίων</w:t>
                      </w:r>
                    </w:p>
                  </w:txbxContent>
                </v:textbox>
              </v:shape>
            </w:pict>
          </mc:Fallback>
        </mc:AlternateContent>
      </w:r>
      <w:r w:rsidR="00236C11">
        <w:rPr>
          <w:b/>
          <w:iCs/>
          <w:color w:val="002060"/>
          <w:sz w:val="22"/>
          <w:szCs w:val="22"/>
          <w:lang w:val="el-GR"/>
        </w:rPr>
        <w:t xml:space="preserve">    </w:t>
      </w:r>
      <w:r w:rsidRPr="00EB0757">
        <w:rPr>
          <w:b/>
          <w:iCs/>
          <w:color w:val="002060"/>
          <w:sz w:val="22"/>
          <w:szCs w:val="22"/>
          <w:lang w:val="el-GR"/>
        </w:rPr>
        <w:t xml:space="preserve">Διάγραμμα 2 - Ζήτηση </w:t>
      </w:r>
      <w:r w:rsidRPr="00EB0757">
        <w:rPr>
          <w:i/>
          <w:iCs/>
          <w:color w:val="002060"/>
          <w:sz w:val="22"/>
          <w:szCs w:val="22"/>
          <w:lang w:val="el-GR"/>
        </w:rPr>
        <w:t>(μέσος όρος)</w:t>
      </w:r>
    </w:p>
    <w:p w14:paraId="6881E2D9" w14:textId="7453AD78" w:rsidR="00EB0757" w:rsidRPr="000253FC" w:rsidRDefault="000253FC" w:rsidP="00CC0BDF">
      <w:pPr>
        <w:keepNext/>
        <w:widowControl w:val="0"/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  <w:r w:rsidRPr="0018352B">
        <w:rPr>
          <w:noProof/>
          <w:lang w:val="el-GR"/>
        </w:rPr>
        <w:t xml:space="preserve"> </w:t>
      </w:r>
      <w:r w:rsidR="00B24E84">
        <w:rPr>
          <w:noProof/>
          <w:lang w:val="en-US" w:eastAsia="en-US"/>
        </w:rPr>
        <w:drawing>
          <wp:inline distT="0" distB="0" distL="0" distR="0" wp14:anchorId="1770D7E1" wp14:editId="19F8AEB9">
            <wp:extent cx="4584700" cy="265176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906C" w14:textId="77777777" w:rsidR="00236C11" w:rsidRDefault="00236C11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7FF76742" w14:textId="77777777" w:rsidR="00EB0757" w:rsidRPr="000253FC" w:rsidRDefault="00236C11" w:rsidP="00517B14">
      <w:pPr>
        <w:spacing w:line="360" w:lineRule="auto"/>
        <w:jc w:val="both"/>
        <w:rPr>
          <w:i/>
          <w:iCs/>
          <w:color w:val="002060"/>
          <w:sz w:val="22"/>
          <w:szCs w:val="22"/>
          <w:lang w:val="el-GR"/>
        </w:rPr>
      </w:pPr>
      <w:r>
        <w:rPr>
          <w:b/>
          <w:iCs/>
          <w:color w:val="002060"/>
          <w:sz w:val="22"/>
          <w:szCs w:val="22"/>
          <w:lang w:val="el-GR"/>
        </w:rPr>
        <w:t xml:space="preserve">  </w:t>
      </w:r>
      <w:r w:rsidR="00EB0757" w:rsidRPr="00EB0757">
        <w:rPr>
          <w:b/>
          <w:iCs/>
          <w:color w:val="002060"/>
          <w:sz w:val="22"/>
          <w:szCs w:val="22"/>
          <w:lang w:val="el-GR"/>
        </w:rPr>
        <w:t xml:space="preserve">Διάγραμμα 3 - Αναλογία αιτήσεων που απορρίφθηκαν </w:t>
      </w:r>
      <w:r w:rsidR="00EB0757" w:rsidRPr="00EB0757">
        <w:rPr>
          <w:i/>
          <w:iCs/>
          <w:color w:val="002060"/>
          <w:sz w:val="22"/>
          <w:szCs w:val="22"/>
          <w:lang w:val="el-GR"/>
        </w:rPr>
        <w:t>(μέσος όρος)</w:t>
      </w:r>
    </w:p>
    <w:p w14:paraId="5141473C" w14:textId="6D04001D" w:rsidR="000253FC" w:rsidRPr="00273D8E" w:rsidRDefault="00B24E84" w:rsidP="00517B14">
      <w:pPr>
        <w:spacing w:line="360" w:lineRule="auto"/>
        <w:jc w:val="both"/>
        <w:rPr>
          <w:iCs/>
          <w:color w:val="002060"/>
          <w:sz w:val="22"/>
          <w:szCs w:val="22"/>
          <w:lang w:val="el-GR"/>
        </w:rPr>
      </w:pPr>
      <w:r>
        <w:rPr>
          <w:iCs/>
          <w:noProof/>
          <w:color w:val="002060"/>
          <w:sz w:val="22"/>
          <w:szCs w:val="22"/>
          <w:lang w:val="en-US" w:eastAsia="en-US"/>
        </w:rPr>
        <w:drawing>
          <wp:inline distT="0" distB="0" distL="0" distR="0" wp14:anchorId="66FBEF6C" wp14:editId="2C665628">
            <wp:extent cx="4584700" cy="2646045"/>
            <wp:effectExtent l="0" t="0" r="635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38199" w14:textId="77777777" w:rsidR="00F434BF" w:rsidRDefault="00F5007A" w:rsidP="00614A99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u w:val="single"/>
          <w:lang w:val="el-GR"/>
        </w:rPr>
        <w:t>Περισσότερες πληροφορίες</w:t>
      </w:r>
      <w:r w:rsidR="00184CB0" w:rsidRPr="00C44AA2">
        <w:rPr>
          <w:sz w:val="22"/>
          <w:szCs w:val="22"/>
          <w:lang w:val="el-GR"/>
        </w:rPr>
        <w:t>:</w:t>
      </w:r>
    </w:p>
    <w:p w14:paraId="29BDB574" w14:textId="0750D153" w:rsidR="005725A0" w:rsidRPr="005725A0" w:rsidRDefault="005725A0" w:rsidP="00614A99">
      <w:pPr>
        <w:spacing w:before="240" w:line="360" w:lineRule="auto"/>
        <w:jc w:val="both"/>
        <w:rPr>
          <w:sz w:val="22"/>
          <w:szCs w:val="22"/>
          <w:lang w:val="el-GR"/>
        </w:rPr>
      </w:pPr>
      <w:r w:rsidRPr="005725A0">
        <w:rPr>
          <w:sz w:val="22"/>
          <w:szCs w:val="22"/>
          <w:lang w:val="el-GR"/>
        </w:rPr>
        <w:t>Το επόμενο Δελτίο Τύπου για την «Έρευνα Τραπεζικ</w:t>
      </w:r>
      <w:r w:rsidR="00FF0430">
        <w:rPr>
          <w:sz w:val="22"/>
          <w:szCs w:val="22"/>
          <w:lang w:val="el-GR"/>
        </w:rPr>
        <w:t xml:space="preserve">ών </w:t>
      </w:r>
      <w:r w:rsidR="00371C14">
        <w:rPr>
          <w:sz w:val="22"/>
          <w:szCs w:val="22"/>
          <w:lang w:val="el-GR"/>
        </w:rPr>
        <w:t xml:space="preserve">Χορηγήσεων» με στοιχεία του </w:t>
      </w:r>
      <w:r w:rsidR="009F69D7">
        <w:rPr>
          <w:sz w:val="22"/>
          <w:szCs w:val="22"/>
          <w:lang w:val="el-GR"/>
        </w:rPr>
        <w:t>δ</w:t>
      </w:r>
      <w:r w:rsidRPr="005725A0">
        <w:rPr>
          <w:sz w:val="22"/>
          <w:szCs w:val="22"/>
          <w:lang w:val="el-GR"/>
        </w:rPr>
        <w:t>’ τριμήνου</w:t>
      </w:r>
      <w:r w:rsidR="006D7AE7">
        <w:rPr>
          <w:sz w:val="22"/>
          <w:szCs w:val="22"/>
          <w:lang w:val="el-GR"/>
        </w:rPr>
        <w:t xml:space="preserve"> του 2024</w:t>
      </w:r>
      <w:r w:rsidR="00857B94">
        <w:rPr>
          <w:sz w:val="22"/>
          <w:szCs w:val="22"/>
          <w:lang w:val="el-GR"/>
        </w:rPr>
        <w:t xml:space="preserve"> </w:t>
      </w:r>
      <w:r w:rsidR="0055431D">
        <w:rPr>
          <w:sz w:val="22"/>
          <w:szCs w:val="22"/>
          <w:lang w:val="el-GR"/>
        </w:rPr>
        <w:t>θα δημοσιευ</w:t>
      </w:r>
      <w:r w:rsidR="00F30EE6">
        <w:rPr>
          <w:sz w:val="22"/>
          <w:szCs w:val="22"/>
          <w:lang w:val="el-GR"/>
        </w:rPr>
        <w:t>θ</w:t>
      </w:r>
      <w:r w:rsidR="0055431D">
        <w:rPr>
          <w:sz w:val="22"/>
          <w:szCs w:val="22"/>
          <w:lang w:val="el-GR"/>
        </w:rPr>
        <w:t xml:space="preserve">εί </w:t>
      </w:r>
      <w:r w:rsidR="009F69D7">
        <w:rPr>
          <w:sz w:val="22"/>
          <w:szCs w:val="22"/>
          <w:lang w:val="el-GR"/>
        </w:rPr>
        <w:t>τον Ιανουάριο του 2025</w:t>
      </w:r>
      <w:r w:rsidR="00166390">
        <w:rPr>
          <w:sz w:val="22"/>
          <w:szCs w:val="22"/>
          <w:lang w:val="el-GR"/>
        </w:rPr>
        <w:t>.</w:t>
      </w:r>
    </w:p>
    <w:p w14:paraId="47463B43" w14:textId="577D75C5" w:rsidR="00F434BF" w:rsidRPr="00755A8E" w:rsidRDefault="00755A8E" w:rsidP="00755A8E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u w:val="single"/>
          <w:lang w:val="el-GR"/>
        </w:rPr>
        <w:t>Σχετικοί σύνδεσμοι</w:t>
      </w:r>
      <w:r w:rsidRPr="0097783A">
        <w:rPr>
          <w:sz w:val="22"/>
          <w:szCs w:val="22"/>
          <w:lang w:val="el-GR"/>
        </w:rPr>
        <w:t>:</w:t>
      </w:r>
    </w:p>
    <w:p w14:paraId="4EF49857" w14:textId="77777777" w:rsidR="00755A8E" w:rsidRPr="00BB69F3" w:rsidRDefault="00AD6DDA" w:rsidP="00755A8E">
      <w:pPr>
        <w:jc w:val="both"/>
        <w:rPr>
          <w:rStyle w:val="Hyperlink"/>
          <w:color w:val="002060"/>
          <w:sz w:val="22"/>
          <w:szCs w:val="22"/>
          <w:lang w:val="el-GR"/>
        </w:rPr>
      </w:pPr>
      <w:hyperlink r:id="rId12" w:tooltip="Πληροφοίες σχετικά με την Ερευνα Τραπεζικων Χορηγήσεων" w:history="1">
        <w:r w:rsidR="00BD21D2">
          <w:rPr>
            <w:rStyle w:val="Hyperlink"/>
            <w:color w:val="002060"/>
            <w:sz w:val="22"/>
            <w:szCs w:val="22"/>
            <w:lang w:val="el-GR"/>
          </w:rPr>
          <w:t>Περισσότερα στοιχεία για την Έρευνα Τραπεζικών Χορηγήσεων</w:t>
        </w:r>
      </w:hyperlink>
    </w:p>
    <w:p w14:paraId="18852E08" w14:textId="77777777" w:rsidR="00755A8E" w:rsidRPr="00BB69F3" w:rsidRDefault="00755A8E" w:rsidP="00755A8E">
      <w:pPr>
        <w:jc w:val="both"/>
        <w:rPr>
          <w:rStyle w:val="Hyperlink"/>
          <w:color w:val="002060"/>
          <w:sz w:val="22"/>
          <w:szCs w:val="22"/>
          <w:lang w:val="el-GR"/>
        </w:rPr>
      </w:pPr>
    </w:p>
    <w:p w14:paraId="48439603" w14:textId="77777777" w:rsidR="00F5007A" w:rsidRPr="001212DA" w:rsidRDefault="00AD6DDA" w:rsidP="001212DA">
      <w:pPr>
        <w:jc w:val="both"/>
        <w:rPr>
          <w:color w:val="002060"/>
          <w:sz w:val="22"/>
          <w:szCs w:val="22"/>
          <w:u w:val="single"/>
          <w:lang w:val="el-GR"/>
        </w:rPr>
      </w:pPr>
      <w:hyperlink r:id="rId13" w:history="1">
        <w:r w:rsidR="00BB69F3" w:rsidRPr="00BB69F3">
          <w:rPr>
            <w:rStyle w:val="Hyperlink"/>
            <w:color w:val="002060"/>
            <w:sz w:val="22"/>
            <w:szCs w:val="22"/>
            <w:lang w:val="el-GR"/>
          </w:rPr>
          <w:t>Μεθοδολογία</w:t>
        </w:r>
      </w:hyperlink>
      <w:r w:rsidR="00BB69F3" w:rsidRPr="00BB69F3">
        <w:rPr>
          <w:rStyle w:val="Hyperlink"/>
          <w:color w:val="002060"/>
          <w:sz w:val="22"/>
          <w:szCs w:val="22"/>
          <w:lang w:val="el-GR"/>
        </w:rPr>
        <w:t xml:space="preserve"> </w:t>
      </w:r>
    </w:p>
    <w:sectPr w:rsidR="00F5007A" w:rsidRPr="001212DA" w:rsidSect="00995899">
      <w:footerReference w:type="default" r:id="rId14"/>
      <w:footerReference w:type="first" r:id="rId15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04FD9" w14:textId="77777777" w:rsidR="00990DBA" w:rsidRDefault="00990DBA">
      <w:r>
        <w:separator/>
      </w:r>
    </w:p>
  </w:endnote>
  <w:endnote w:type="continuationSeparator" w:id="0">
    <w:p w14:paraId="110244A4" w14:textId="77777777" w:rsidR="00990DBA" w:rsidRDefault="0099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03F4" w14:textId="77777777" w:rsidR="00906441" w:rsidRDefault="00614A99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28AE6DA0" w14:textId="77777777" w:rsidR="00766A4F" w:rsidRPr="00614A99" w:rsidRDefault="00766A4F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766A4F" w:rsidRPr="00766A4F" w14:paraId="78C1C589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46B05FA0" w14:textId="77777777" w:rsidR="006B5E1E" w:rsidRDefault="006B5E1E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7751686B" w14:textId="77777777" w:rsidR="006B5E1E" w:rsidRDefault="006B5E1E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r w:rsidR="00C25ACA" w:rsidRPr="00517B14">
            <w:rPr>
              <w:rFonts w:ascii="Arial" w:hAnsi="Arial" w:cs="Arial"/>
              <w:sz w:val="14"/>
              <w:lang w:val="el-GR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091FD546" w14:textId="77777777" w:rsidR="00766A4F" w:rsidRDefault="00AD6DDA" w:rsidP="006B5E1E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="00184CB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="00184CB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="00184CB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="00184CB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="00184CB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="006B5E1E">
            <w:rPr>
              <w:rFonts w:ascii="Arial" w:hAnsi="Arial" w:cs="Arial"/>
              <w:sz w:val="14"/>
              <w:lang w:val="el-GR"/>
            </w:rPr>
            <w:t xml:space="preserve"> | </w:t>
          </w:r>
          <w:r w:rsidR="00184CB0"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="00184CB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="00184CB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="00184CB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="00184CB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="00184CB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="00184CB0"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25459069" w14:textId="7A4740E1" w:rsidR="00766A4F" w:rsidRPr="00184CB0" w:rsidRDefault="00766A4F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AD6DDA">
            <w:rPr>
              <w:rFonts w:ascii="Arial" w:hAnsi="Arial" w:cs="Arial"/>
              <w:noProof/>
              <w:color w:val="auto"/>
              <w:sz w:val="18"/>
              <w:lang w:val="en-US"/>
            </w:rPr>
            <w:t>3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 w:rsidR="00184CB0"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="00184CB0"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3CC41E38" w14:textId="77777777" w:rsidR="00906441" w:rsidRDefault="00906441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D197" w14:textId="77777777" w:rsidR="00906441" w:rsidRDefault="00906441">
    <w:pPr>
      <w:pStyle w:val="Footer"/>
      <w:rPr>
        <w:sz w:val="20"/>
        <w:lang w:val="de-DE"/>
      </w:rPr>
    </w:pPr>
  </w:p>
  <w:p w14:paraId="4FE3988C" w14:textId="77777777" w:rsidR="00906441" w:rsidRDefault="00906441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F7BE" w14:textId="77777777" w:rsidR="00990DBA" w:rsidRDefault="00990DBA">
      <w:r>
        <w:separator/>
      </w:r>
    </w:p>
  </w:footnote>
  <w:footnote w:type="continuationSeparator" w:id="0">
    <w:p w14:paraId="0E5B9021" w14:textId="77777777" w:rsidR="00990DBA" w:rsidRDefault="0099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4A"/>
    <w:rsid w:val="00004479"/>
    <w:rsid w:val="00006CD9"/>
    <w:rsid w:val="00013E4D"/>
    <w:rsid w:val="00014FDC"/>
    <w:rsid w:val="00020FE0"/>
    <w:rsid w:val="00022F02"/>
    <w:rsid w:val="00023BB1"/>
    <w:rsid w:val="00024014"/>
    <w:rsid w:val="000253FC"/>
    <w:rsid w:val="000272CF"/>
    <w:rsid w:val="00030D79"/>
    <w:rsid w:val="00037147"/>
    <w:rsid w:val="00043FFB"/>
    <w:rsid w:val="00044C8F"/>
    <w:rsid w:val="00045338"/>
    <w:rsid w:val="0005178C"/>
    <w:rsid w:val="00053EF1"/>
    <w:rsid w:val="000560DB"/>
    <w:rsid w:val="0005640D"/>
    <w:rsid w:val="00060D67"/>
    <w:rsid w:val="000645D0"/>
    <w:rsid w:val="00072210"/>
    <w:rsid w:val="00073219"/>
    <w:rsid w:val="00073736"/>
    <w:rsid w:val="00081DDF"/>
    <w:rsid w:val="00086020"/>
    <w:rsid w:val="00087F0E"/>
    <w:rsid w:val="000919A3"/>
    <w:rsid w:val="0009327E"/>
    <w:rsid w:val="000943B4"/>
    <w:rsid w:val="00097A14"/>
    <w:rsid w:val="000A19A9"/>
    <w:rsid w:val="000A288F"/>
    <w:rsid w:val="000A2EEC"/>
    <w:rsid w:val="000A304A"/>
    <w:rsid w:val="000A4140"/>
    <w:rsid w:val="000A5141"/>
    <w:rsid w:val="000A6028"/>
    <w:rsid w:val="000B4C50"/>
    <w:rsid w:val="000B6841"/>
    <w:rsid w:val="000B7EE9"/>
    <w:rsid w:val="000C089E"/>
    <w:rsid w:val="000C1716"/>
    <w:rsid w:val="000C32E3"/>
    <w:rsid w:val="000C3551"/>
    <w:rsid w:val="000C4414"/>
    <w:rsid w:val="000C46DD"/>
    <w:rsid w:val="000C5182"/>
    <w:rsid w:val="000C78B0"/>
    <w:rsid w:val="000D0221"/>
    <w:rsid w:val="000D1A19"/>
    <w:rsid w:val="000D5526"/>
    <w:rsid w:val="000D6852"/>
    <w:rsid w:val="000E0C1A"/>
    <w:rsid w:val="000E73F6"/>
    <w:rsid w:val="000F1883"/>
    <w:rsid w:val="000F4200"/>
    <w:rsid w:val="000F6C41"/>
    <w:rsid w:val="000F7419"/>
    <w:rsid w:val="0010083B"/>
    <w:rsid w:val="001008D8"/>
    <w:rsid w:val="0010540E"/>
    <w:rsid w:val="0011080E"/>
    <w:rsid w:val="0011320D"/>
    <w:rsid w:val="001136BF"/>
    <w:rsid w:val="0011463E"/>
    <w:rsid w:val="001212DA"/>
    <w:rsid w:val="00123974"/>
    <w:rsid w:val="00123BD8"/>
    <w:rsid w:val="00126C30"/>
    <w:rsid w:val="00155FAD"/>
    <w:rsid w:val="00166390"/>
    <w:rsid w:val="00172F97"/>
    <w:rsid w:val="00180F26"/>
    <w:rsid w:val="00181AEF"/>
    <w:rsid w:val="0018352B"/>
    <w:rsid w:val="00183895"/>
    <w:rsid w:val="001840EF"/>
    <w:rsid w:val="00184218"/>
    <w:rsid w:val="00184CB0"/>
    <w:rsid w:val="00185971"/>
    <w:rsid w:val="00185CF2"/>
    <w:rsid w:val="001905D0"/>
    <w:rsid w:val="0019445C"/>
    <w:rsid w:val="0019776D"/>
    <w:rsid w:val="001A04FD"/>
    <w:rsid w:val="001A2F1B"/>
    <w:rsid w:val="001A37A9"/>
    <w:rsid w:val="001A4D11"/>
    <w:rsid w:val="001A759A"/>
    <w:rsid w:val="001B0697"/>
    <w:rsid w:val="001B1CC6"/>
    <w:rsid w:val="001B7350"/>
    <w:rsid w:val="001B743C"/>
    <w:rsid w:val="001B7EEF"/>
    <w:rsid w:val="001C1BDE"/>
    <w:rsid w:val="001C4B59"/>
    <w:rsid w:val="001C5C1C"/>
    <w:rsid w:val="001D1EE6"/>
    <w:rsid w:val="001D4136"/>
    <w:rsid w:val="001D75EB"/>
    <w:rsid w:val="001E3BEA"/>
    <w:rsid w:val="001E6951"/>
    <w:rsid w:val="001F0CF2"/>
    <w:rsid w:val="001F260A"/>
    <w:rsid w:val="001F30AE"/>
    <w:rsid w:val="0020030C"/>
    <w:rsid w:val="00201E7D"/>
    <w:rsid w:val="00202559"/>
    <w:rsid w:val="00202FDB"/>
    <w:rsid w:val="00204855"/>
    <w:rsid w:val="00207C8D"/>
    <w:rsid w:val="002101EB"/>
    <w:rsid w:val="00213186"/>
    <w:rsid w:val="00217D63"/>
    <w:rsid w:val="0022390E"/>
    <w:rsid w:val="00223CF6"/>
    <w:rsid w:val="00225769"/>
    <w:rsid w:val="00225EC6"/>
    <w:rsid w:val="002260D3"/>
    <w:rsid w:val="00227116"/>
    <w:rsid w:val="00230EF6"/>
    <w:rsid w:val="002356CB"/>
    <w:rsid w:val="00236C11"/>
    <w:rsid w:val="00237995"/>
    <w:rsid w:val="002435A1"/>
    <w:rsid w:val="00246066"/>
    <w:rsid w:val="00260190"/>
    <w:rsid w:val="002601CB"/>
    <w:rsid w:val="00260E62"/>
    <w:rsid w:val="002708F8"/>
    <w:rsid w:val="00270D07"/>
    <w:rsid w:val="00273A59"/>
    <w:rsid w:val="00273D8E"/>
    <w:rsid w:val="002941A8"/>
    <w:rsid w:val="002A1307"/>
    <w:rsid w:val="002A2D24"/>
    <w:rsid w:val="002A3590"/>
    <w:rsid w:val="002A7552"/>
    <w:rsid w:val="002A7838"/>
    <w:rsid w:val="002B1EDF"/>
    <w:rsid w:val="002B5FB8"/>
    <w:rsid w:val="002C168A"/>
    <w:rsid w:val="002C33F8"/>
    <w:rsid w:val="002C6FDE"/>
    <w:rsid w:val="002C7892"/>
    <w:rsid w:val="002C7E8C"/>
    <w:rsid w:val="002D127D"/>
    <w:rsid w:val="002D3F97"/>
    <w:rsid w:val="002D795F"/>
    <w:rsid w:val="002E479E"/>
    <w:rsid w:val="002F2735"/>
    <w:rsid w:val="002F3D84"/>
    <w:rsid w:val="002F5AE8"/>
    <w:rsid w:val="002F69CD"/>
    <w:rsid w:val="00302264"/>
    <w:rsid w:val="00313191"/>
    <w:rsid w:val="0031618F"/>
    <w:rsid w:val="00320888"/>
    <w:rsid w:val="0032201A"/>
    <w:rsid w:val="003241AF"/>
    <w:rsid w:val="00325A6F"/>
    <w:rsid w:val="00327D67"/>
    <w:rsid w:val="00333E5C"/>
    <w:rsid w:val="00336459"/>
    <w:rsid w:val="00340C76"/>
    <w:rsid w:val="003412B3"/>
    <w:rsid w:val="0034293F"/>
    <w:rsid w:val="00343394"/>
    <w:rsid w:val="003454F8"/>
    <w:rsid w:val="0034678E"/>
    <w:rsid w:val="00351714"/>
    <w:rsid w:val="00354212"/>
    <w:rsid w:val="00354A2D"/>
    <w:rsid w:val="00355259"/>
    <w:rsid w:val="00357937"/>
    <w:rsid w:val="00360226"/>
    <w:rsid w:val="00361374"/>
    <w:rsid w:val="00362F86"/>
    <w:rsid w:val="003636A6"/>
    <w:rsid w:val="003668FA"/>
    <w:rsid w:val="0036732C"/>
    <w:rsid w:val="00370A65"/>
    <w:rsid w:val="00370E6C"/>
    <w:rsid w:val="00371C14"/>
    <w:rsid w:val="0037238A"/>
    <w:rsid w:val="003741B6"/>
    <w:rsid w:val="003744C4"/>
    <w:rsid w:val="00375D2B"/>
    <w:rsid w:val="00385AAE"/>
    <w:rsid w:val="003865FE"/>
    <w:rsid w:val="00386F6E"/>
    <w:rsid w:val="003874C8"/>
    <w:rsid w:val="003877F1"/>
    <w:rsid w:val="00392ACC"/>
    <w:rsid w:val="00397328"/>
    <w:rsid w:val="003A245D"/>
    <w:rsid w:val="003A2469"/>
    <w:rsid w:val="003A2E0B"/>
    <w:rsid w:val="003A4A4F"/>
    <w:rsid w:val="003B167A"/>
    <w:rsid w:val="003B3333"/>
    <w:rsid w:val="003B3773"/>
    <w:rsid w:val="003B43F8"/>
    <w:rsid w:val="003B6F76"/>
    <w:rsid w:val="003C0F8C"/>
    <w:rsid w:val="003C212F"/>
    <w:rsid w:val="003C3284"/>
    <w:rsid w:val="003C3AA5"/>
    <w:rsid w:val="003C55D2"/>
    <w:rsid w:val="003C58EA"/>
    <w:rsid w:val="003D5953"/>
    <w:rsid w:val="003E11F9"/>
    <w:rsid w:val="003E125D"/>
    <w:rsid w:val="003E2225"/>
    <w:rsid w:val="003E5E39"/>
    <w:rsid w:val="003E6986"/>
    <w:rsid w:val="003E6B9F"/>
    <w:rsid w:val="003E76A1"/>
    <w:rsid w:val="003F15A2"/>
    <w:rsid w:val="003F178F"/>
    <w:rsid w:val="003F1A01"/>
    <w:rsid w:val="003F5239"/>
    <w:rsid w:val="003F7C8E"/>
    <w:rsid w:val="004018F6"/>
    <w:rsid w:val="0040192A"/>
    <w:rsid w:val="0040201E"/>
    <w:rsid w:val="00404C9B"/>
    <w:rsid w:val="00406D19"/>
    <w:rsid w:val="00410CF4"/>
    <w:rsid w:val="00412219"/>
    <w:rsid w:val="00413901"/>
    <w:rsid w:val="00414884"/>
    <w:rsid w:val="00417695"/>
    <w:rsid w:val="00417ED3"/>
    <w:rsid w:val="00421EAD"/>
    <w:rsid w:val="00422D68"/>
    <w:rsid w:val="00425365"/>
    <w:rsid w:val="00426862"/>
    <w:rsid w:val="0042753D"/>
    <w:rsid w:val="004341F8"/>
    <w:rsid w:val="0043621F"/>
    <w:rsid w:val="00443B6C"/>
    <w:rsid w:val="00447AB4"/>
    <w:rsid w:val="004530E8"/>
    <w:rsid w:val="004536B7"/>
    <w:rsid w:val="00453C47"/>
    <w:rsid w:val="0046071D"/>
    <w:rsid w:val="004609DE"/>
    <w:rsid w:val="00460DB4"/>
    <w:rsid w:val="00463F9F"/>
    <w:rsid w:val="00464C3A"/>
    <w:rsid w:val="00466134"/>
    <w:rsid w:val="00467E19"/>
    <w:rsid w:val="00475C50"/>
    <w:rsid w:val="00477EE1"/>
    <w:rsid w:val="00477FCF"/>
    <w:rsid w:val="004802A5"/>
    <w:rsid w:val="00483018"/>
    <w:rsid w:val="0048339C"/>
    <w:rsid w:val="00491524"/>
    <w:rsid w:val="00491B05"/>
    <w:rsid w:val="00493812"/>
    <w:rsid w:val="004946D9"/>
    <w:rsid w:val="00496786"/>
    <w:rsid w:val="00497CD2"/>
    <w:rsid w:val="004A549E"/>
    <w:rsid w:val="004A59BA"/>
    <w:rsid w:val="004A7E2D"/>
    <w:rsid w:val="004B3405"/>
    <w:rsid w:val="004B4658"/>
    <w:rsid w:val="004B5F0E"/>
    <w:rsid w:val="004B79B4"/>
    <w:rsid w:val="004C1970"/>
    <w:rsid w:val="004C30E9"/>
    <w:rsid w:val="004C3FE7"/>
    <w:rsid w:val="004C4F2C"/>
    <w:rsid w:val="004C5F17"/>
    <w:rsid w:val="004C6096"/>
    <w:rsid w:val="004D63E0"/>
    <w:rsid w:val="004D7D32"/>
    <w:rsid w:val="004E4C3C"/>
    <w:rsid w:val="004F4D46"/>
    <w:rsid w:val="004F52A9"/>
    <w:rsid w:val="00515766"/>
    <w:rsid w:val="005166FF"/>
    <w:rsid w:val="0051738F"/>
    <w:rsid w:val="00517B14"/>
    <w:rsid w:val="00523366"/>
    <w:rsid w:val="00523E72"/>
    <w:rsid w:val="00530DAA"/>
    <w:rsid w:val="00533BA6"/>
    <w:rsid w:val="005368A7"/>
    <w:rsid w:val="0054190C"/>
    <w:rsid w:val="00542108"/>
    <w:rsid w:val="0054334D"/>
    <w:rsid w:val="005437B5"/>
    <w:rsid w:val="005452D0"/>
    <w:rsid w:val="0054566C"/>
    <w:rsid w:val="00546DCA"/>
    <w:rsid w:val="00552236"/>
    <w:rsid w:val="00553F6C"/>
    <w:rsid w:val="0055431D"/>
    <w:rsid w:val="00561F3F"/>
    <w:rsid w:val="00564CE7"/>
    <w:rsid w:val="00566D7D"/>
    <w:rsid w:val="00570CC8"/>
    <w:rsid w:val="0057148F"/>
    <w:rsid w:val="005725A0"/>
    <w:rsid w:val="00572D5B"/>
    <w:rsid w:val="00577E86"/>
    <w:rsid w:val="00584A58"/>
    <w:rsid w:val="005863E4"/>
    <w:rsid w:val="00586BA9"/>
    <w:rsid w:val="00591679"/>
    <w:rsid w:val="00593A10"/>
    <w:rsid w:val="00595CB2"/>
    <w:rsid w:val="0059648B"/>
    <w:rsid w:val="005A1E42"/>
    <w:rsid w:val="005A6B58"/>
    <w:rsid w:val="005B1F16"/>
    <w:rsid w:val="005B5CFE"/>
    <w:rsid w:val="005B5D88"/>
    <w:rsid w:val="005C059A"/>
    <w:rsid w:val="005C0C4E"/>
    <w:rsid w:val="005C0CDA"/>
    <w:rsid w:val="005C50E8"/>
    <w:rsid w:val="005C55D9"/>
    <w:rsid w:val="005D0843"/>
    <w:rsid w:val="005D30A5"/>
    <w:rsid w:val="005D4522"/>
    <w:rsid w:val="005D6DC9"/>
    <w:rsid w:val="005D7A40"/>
    <w:rsid w:val="005E078D"/>
    <w:rsid w:val="005E257A"/>
    <w:rsid w:val="005E2B89"/>
    <w:rsid w:val="005E5E13"/>
    <w:rsid w:val="005E62D0"/>
    <w:rsid w:val="005F1D24"/>
    <w:rsid w:val="005F2746"/>
    <w:rsid w:val="005F43AD"/>
    <w:rsid w:val="00603090"/>
    <w:rsid w:val="00604B09"/>
    <w:rsid w:val="00604D0C"/>
    <w:rsid w:val="00606096"/>
    <w:rsid w:val="00606E2F"/>
    <w:rsid w:val="006105E8"/>
    <w:rsid w:val="0061369F"/>
    <w:rsid w:val="00614A99"/>
    <w:rsid w:val="00615053"/>
    <w:rsid w:val="00617823"/>
    <w:rsid w:val="00623D82"/>
    <w:rsid w:val="00627512"/>
    <w:rsid w:val="00627DC6"/>
    <w:rsid w:val="00634B2D"/>
    <w:rsid w:val="0064172A"/>
    <w:rsid w:val="006418EF"/>
    <w:rsid w:val="00652430"/>
    <w:rsid w:val="006542A4"/>
    <w:rsid w:val="00656C46"/>
    <w:rsid w:val="00670134"/>
    <w:rsid w:val="00677754"/>
    <w:rsid w:val="00677ED7"/>
    <w:rsid w:val="00680440"/>
    <w:rsid w:val="0068377E"/>
    <w:rsid w:val="0068536A"/>
    <w:rsid w:val="006901E8"/>
    <w:rsid w:val="006932B9"/>
    <w:rsid w:val="00694E68"/>
    <w:rsid w:val="0069557D"/>
    <w:rsid w:val="006A14C1"/>
    <w:rsid w:val="006A2DD2"/>
    <w:rsid w:val="006B29BD"/>
    <w:rsid w:val="006B4B25"/>
    <w:rsid w:val="006B5E1E"/>
    <w:rsid w:val="006B7D31"/>
    <w:rsid w:val="006D07A5"/>
    <w:rsid w:val="006D0FF7"/>
    <w:rsid w:val="006D2AC6"/>
    <w:rsid w:val="006D3D1E"/>
    <w:rsid w:val="006D7AE7"/>
    <w:rsid w:val="006D7D0F"/>
    <w:rsid w:val="006E4337"/>
    <w:rsid w:val="006F37D0"/>
    <w:rsid w:val="006F6F01"/>
    <w:rsid w:val="007019AF"/>
    <w:rsid w:val="00704411"/>
    <w:rsid w:val="00705639"/>
    <w:rsid w:val="00707483"/>
    <w:rsid w:val="00714EDE"/>
    <w:rsid w:val="00715C8C"/>
    <w:rsid w:val="00721A97"/>
    <w:rsid w:val="007220E9"/>
    <w:rsid w:val="0072347B"/>
    <w:rsid w:val="0072663E"/>
    <w:rsid w:val="0073051C"/>
    <w:rsid w:val="00730ACE"/>
    <w:rsid w:val="00732507"/>
    <w:rsid w:val="00733E6D"/>
    <w:rsid w:val="0073534F"/>
    <w:rsid w:val="007354F4"/>
    <w:rsid w:val="0073681A"/>
    <w:rsid w:val="0074387F"/>
    <w:rsid w:val="00743D01"/>
    <w:rsid w:val="00744631"/>
    <w:rsid w:val="00746584"/>
    <w:rsid w:val="00750403"/>
    <w:rsid w:val="0075195E"/>
    <w:rsid w:val="0075307B"/>
    <w:rsid w:val="00755416"/>
    <w:rsid w:val="00755A38"/>
    <w:rsid w:val="00755A8E"/>
    <w:rsid w:val="00762068"/>
    <w:rsid w:val="00764C47"/>
    <w:rsid w:val="00765C5A"/>
    <w:rsid w:val="00766A4F"/>
    <w:rsid w:val="00767C8E"/>
    <w:rsid w:val="00770D0D"/>
    <w:rsid w:val="00772419"/>
    <w:rsid w:val="007736AF"/>
    <w:rsid w:val="007747DD"/>
    <w:rsid w:val="00776A9E"/>
    <w:rsid w:val="007866E3"/>
    <w:rsid w:val="007874D4"/>
    <w:rsid w:val="00790999"/>
    <w:rsid w:val="00794D78"/>
    <w:rsid w:val="007A0D33"/>
    <w:rsid w:val="007A1638"/>
    <w:rsid w:val="007A4FAF"/>
    <w:rsid w:val="007A773E"/>
    <w:rsid w:val="007C0704"/>
    <w:rsid w:val="007C23D0"/>
    <w:rsid w:val="007C402C"/>
    <w:rsid w:val="007C4A55"/>
    <w:rsid w:val="007C5E83"/>
    <w:rsid w:val="007C6319"/>
    <w:rsid w:val="007C6FC4"/>
    <w:rsid w:val="007C7957"/>
    <w:rsid w:val="007D0449"/>
    <w:rsid w:val="007D4426"/>
    <w:rsid w:val="007D47CB"/>
    <w:rsid w:val="007E1BE8"/>
    <w:rsid w:val="007E46FB"/>
    <w:rsid w:val="007E4B82"/>
    <w:rsid w:val="008116CE"/>
    <w:rsid w:val="00816456"/>
    <w:rsid w:val="00816DE3"/>
    <w:rsid w:val="00817F3B"/>
    <w:rsid w:val="00824A41"/>
    <w:rsid w:val="00832015"/>
    <w:rsid w:val="00832116"/>
    <w:rsid w:val="0083706E"/>
    <w:rsid w:val="00837AC2"/>
    <w:rsid w:val="00845FB3"/>
    <w:rsid w:val="00846FA3"/>
    <w:rsid w:val="00853EC0"/>
    <w:rsid w:val="00855C86"/>
    <w:rsid w:val="0085688E"/>
    <w:rsid w:val="00857B94"/>
    <w:rsid w:val="00863881"/>
    <w:rsid w:val="00864DCC"/>
    <w:rsid w:val="00873049"/>
    <w:rsid w:val="00880444"/>
    <w:rsid w:val="00883F8E"/>
    <w:rsid w:val="00886459"/>
    <w:rsid w:val="00887C0E"/>
    <w:rsid w:val="00890DD7"/>
    <w:rsid w:val="008917EA"/>
    <w:rsid w:val="00894070"/>
    <w:rsid w:val="00897D99"/>
    <w:rsid w:val="008A37D7"/>
    <w:rsid w:val="008A443F"/>
    <w:rsid w:val="008B0419"/>
    <w:rsid w:val="008B09DB"/>
    <w:rsid w:val="008B3245"/>
    <w:rsid w:val="008B3AB1"/>
    <w:rsid w:val="008B3C40"/>
    <w:rsid w:val="008B5052"/>
    <w:rsid w:val="008B5AA3"/>
    <w:rsid w:val="008B61C2"/>
    <w:rsid w:val="008C1536"/>
    <w:rsid w:val="008C1573"/>
    <w:rsid w:val="008D08E2"/>
    <w:rsid w:val="008D1078"/>
    <w:rsid w:val="008D28E5"/>
    <w:rsid w:val="008D295D"/>
    <w:rsid w:val="008D5827"/>
    <w:rsid w:val="008E7AC5"/>
    <w:rsid w:val="008F78BE"/>
    <w:rsid w:val="00900689"/>
    <w:rsid w:val="00900E3D"/>
    <w:rsid w:val="00901534"/>
    <w:rsid w:val="00901E89"/>
    <w:rsid w:val="009024E8"/>
    <w:rsid w:val="0090628A"/>
    <w:rsid w:val="00906441"/>
    <w:rsid w:val="009107A6"/>
    <w:rsid w:val="00911070"/>
    <w:rsid w:val="009165DB"/>
    <w:rsid w:val="00922865"/>
    <w:rsid w:val="00926938"/>
    <w:rsid w:val="00935044"/>
    <w:rsid w:val="0093752D"/>
    <w:rsid w:val="009418D5"/>
    <w:rsid w:val="009448B4"/>
    <w:rsid w:val="00950178"/>
    <w:rsid w:val="00953005"/>
    <w:rsid w:val="009570A1"/>
    <w:rsid w:val="00957998"/>
    <w:rsid w:val="00963ACA"/>
    <w:rsid w:val="00963E0D"/>
    <w:rsid w:val="00964666"/>
    <w:rsid w:val="00964669"/>
    <w:rsid w:val="009650DB"/>
    <w:rsid w:val="009654D5"/>
    <w:rsid w:val="0096665E"/>
    <w:rsid w:val="009669EB"/>
    <w:rsid w:val="00967107"/>
    <w:rsid w:val="00967474"/>
    <w:rsid w:val="00971D89"/>
    <w:rsid w:val="00974E62"/>
    <w:rsid w:val="009819E1"/>
    <w:rsid w:val="00981C4E"/>
    <w:rsid w:val="0099010E"/>
    <w:rsid w:val="00990DBA"/>
    <w:rsid w:val="009917B1"/>
    <w:rsid w:val="00995899"/>
    <w:rsid w:val="009A0C43"/>
    <w:rsid w:val="009A162A"/>
    <w:rsid w:val="009A7F84"/>
    <w:rsid w:val="009B2F6D"/>
    <w:rsid w:val="009B7371"/>
    <w:rsid w:val="009B73CA"/>
    <w:rsid w:val="009B7A05"/>
    <w:rsid w:val="009C00BC"/>
    <w:rsid w:val="009C19AD"/>
    <w:rsid w:val="009C30CA"/>
    <w:rsid w:val="009C3187"/>
    <w:rsid w:val="009C36B9"/>
    <w:rsid w:val="009C59DA"/>
    <w:rsid w:val="009C7987"/>
    <w:rsid w:val="009C7A80"/>
    <w:rsid w:val="009C7DDA"/>
    <w:rsid w:val="009D180C"/>
    <w:rsid w:val="009D2DC9"/>
    <w:rsid w:val="009F0F83"/>
    <w:rsid w:val="009F3C42"/>
    <w:rsid w:val="009F41D3"/>
    <w:rsid w:val="009F4272"/>
    <w:rsid w:val="009F46C4"/>
    <w:rsid w:val="009F69D7"/>
    <w:rsid w:val="009F7340"/>
    <w:rsid w:val="00A02AF8"/>
    <w:rsid w:val="00A03640"/>
    <w:rsid w:val="00A044CC"/>
    <w:rsid w:val="00A05FD6"/>
    <w:rsid w:val="00A062EA"/>
    <w:rsid w:val="00A1349C"/>
    <w:rsid w:val="00A1474E"/>
    <w:rsid w:val="00A20EFB"/>
    <w:rsid w:val="00A22ECA"/>
    <w:rsid w:val="00A2614F"/>
    <w:rsid w:val="00A27D73"/>
    <w:rsid w:val="00A32C78"/>
    <w:rsid w:val="00A35D8D"/>
    <w:rsid w:val="00A36154"/>
    <w:rsid w:val="00A37AEE"/>
    <w:rsid w:val="00A43B8F"/>
    <w:rsid w:val="00A5673B"/>
    <w:rsid w:val="00A56BA1"/>
    <w:rsid w:val="00A579CF"/>
    <w:rsid w:val="00A62070"/>
    <w:rsid w:val="00A64B75"/>
    <w:rsid w:val="00A66246"/>
    <w:rsid w:val="00A66C66"/>
    <w:rsid w:val="00A66ED3"/>
    <w:rsid w:val="00A677F1"/>
    <w:rsid w:val="00A706E5"/>
    <w:rsid w:val="00A72FE7"/>
    <w:rsid w:val="00A730BF"/>
    <w:rsid w:val="00A7351E"/>
    <w:rsid w:val="00A74FE3"/>
    <w:rsid w:val="00A750F0"/>
    <w:rsid w:val="00A77BD7"/>
    <w:rsid w:val="00A80EF5"/>
    <w:rsid w:val="00A861AC"/>
    <w:rsid w:val="00A877FF"/>
    <w:rsid w:val="00A9093E"/>
    <w:rsid w:val="00A92784"/>
    <w:rsid w:val="00A928EB"/>
    <w:rsid w:val="00A9634B"/>
    <w:rsid w:val="00A97804"/>
    <w:rsid w:val="00AA196A"/>
    <w:rsid w:val="00AA47C4"/>
    <w:rsid w:val="00AA5860"/>
    <w:rsid w:val="00AB0EB1"/>
    <w:rsid w:val="00AB16D7"/>
    <w:rsid w:val="00AB21D5"/>
    <w:rsid w:val="00AB2233"/>
    <w:rsid w:val="00AB4182"/>
    <w:rsid w:val="00AB4507"/>
    <w:rsid w:val="00AC00DC"/>
    <w:rsid w:val="00AC176B"/>
    <w:rsid w:val="00AC27C0"/>
    <w:rsid w:val="00AC6143"/>
    <w:rsid w:val="00AC7C78"/>
    <w:rsid w:val="00AD0439"/>
    <w:rsid w:val="00AD0AA4"/>
    <w:rsid w:val="00AD184C"/>
    <w:rsid w:val="00AD5E60"/>
    <w:rsid w:val="00AD6DDA"/>
    <w:rsid w:val="00AE286C"/>
    <w:rsid w:val="00AE35D7"/>
    <w:rsid w:val="00AE35DD"/>
    <w:rsid w:val="00AF030E"/>
    <w:rsid w:val="00AF0D8C"/>
    <w:rsid w:val="00AF2A8D"/>
    <w:rsid w:val="00B03F5C"/>
    <w:rsid w:val="00B062B8"/>
    <w:rsid w:val="00B06DAC"/>
    <w:rsid w:val="00B102BE"/>
    <w:rsid w:val="00B1198C"/>
    <w:rsid w:val="00B13B39"/>
    <w:rsid w:val="00B145EC"/>
    <w:rsid w:val="00B16FD3"/>
    <w:rsid w:val="00B2022F"/>
    <w:rsid w:val="00B220DD"/>
    <w:rsid w:val="00B24E84"/>
    <w:rsid w:val="00B30105"/>
    <w:rsid w:val="00B4079D"/>
    <w:rsid w:val="00B467A3"/>
    <w:rsid w:val="00B4717A"/>
    <w:rsid w:val="00B47E96"/>
    <w:rsid w:val="00B51630"/>
    <w:rsid w:val="00B54512"/>
    <w:rsid w:val="00B54C1B"/>
    <w:rsid w:val="00B60D05"/>
    <w:rsid w:val="00B63033"/>
    <w:rsid w:val="00B67D12"/>
    <w:rsid w:val="00B715B1"/>
    <w:rsid w:val="00B719FC"/>
    <w:rsid w:val="00B72189"/>
    <w:rsid w:val="00B734D2"/>
    <w:rsid w:val="00B75045"/>
    <w:rsid w:val="00B76824"/>
    <w:rsid w:val="00B81F61"/>
    <w:rsid w:val="00B86328"/>
    <w:rsid w:val="00B912A9"/>
    <w:rsid w:val="00B91F02"/>
    <w:rsid w:val="00B92411"/>
    <w:rsid w:val="00B936D5"/>
    <w:rsid w:val="00B9485C"/>
    <w:rsid w:val="00B97BAF"/>
    <w:rsid w:val="00BA0292"/>
    <w:rsid w:val="00BB5546"/>
    <w:rsid w:val="00BB6505"/>
    <w:rsid w:val="00BB69F3"/>
    <w:rsid w:val="00BB6E79"/>
    <w:rsid w:val="00BC5A55"/>
    <w:rsid w:val="00BC5AD4"/>
    <w:rsid w:val="00BD011B"/>
    <w:rsid w:val="00BD21D2"/>
    <w:rsid w:val="00BD3FA3"/>
    <w:rsid w:val="00BD61FB"/>
    <w:rsid w:val="00BE0C25"/>
    <w:rsid w:val="00BE1DCA"/>
    <w:rsid w:val="00BE3603"/>
    <w:rsid w:val="00BE367A"/>
    <w:rsid w:val="00BE3DFD"/>
    <w:rsid w:val="00BF35E2"/>
    <w:rsid w:val="00BF4A91"/>
    <w:rsid w:val="00BF53AB"/>
    <w:rsid w:val="00BF6659"/>
    <w:rsid w:val="00C04CC0"/>
    <w:rsid w:val="00C10DFC"/>
    <w:rsid w:val="00C146EA"/>
    <w:rsid w:val="00C163DE"/>
    <w:rsid w:val="00C2038D"/>
    <w:rsid w:val="00C21A1B"/>
    <w:rsid w:val="00C25ACA"/>
    <w:rsid w:val="00C262F4"/>
    <w:rsid w:val="00C31FB5"/>
    <w:rsid w:val="00C32E24"/>
    <w:rsid w:val="00C33AD7"/>
    <w:rsid w:val="00C4260B"/>
    <w:rsid w:val="00C445D6"/>
    <w:rsid w:val="00C44AA2"/>
    <w:rsid w:val="00C45A39"/>
    <w:rsid w:val="00C45DC4"/>
    <w:rsid w:val="00C47343"/>
    <w:rsid w:val="00C530F2"/>
    <w:rsid w:val="00C60746"/>
    <w:rsid w:val="00C65155"/>
    <w:rsid w:val="00C67EF4"/>
    <w:rsid w:val="00C7004B"/>
    <w:rsid w:val="00C711D6"/>
    <w:rsid w:val="00C73EB8"/>
    <w:rsid w:val="00C81DEF"/>
    <w:rsid w:val="00C838F1"/>
    <w:rsid w:val="00C86D6D"/>
    <w:rsid w:val="00C91AA5"/>
    <w:rsid w:val="00CA120A"/>
    <w:rsid w:val="00CA1439"/>
    <w:rsid w:val="00CA1718"/>
    <w:rsid w:val="00CA3474"/>
    <w:rsid w:val="00CA3CC9"/>
    <w:rsid w:val="00CB1EAE"/>
    <w:rsid w:val="00CB276A"/>
    <w:rsid w:val="00CB3C86"/>
    <w:rsid w:val="00CB77CE"/>
    <w:rsid w:val="00CC0BDF"/>
    <w:rsid w:val="00CC1A3F"/>
    <w:rsid w:val="00CC5822"/>
    <w:rsid w:val="00CD0977"/>
    <w:rsid w:val="00CD0C4F"/>
    <w:rsid w:val="00CD16E2"/>
    <w:rsid w:val="00CD29DD"/>
    <w:rsid w:val="00CD38FC"/>
    <w:rsid w:val="00CD447E"/>
    <w:rsid w:val="00CD7F0E"/>
    <w:rsid w:val="00CD7F6A"/>
    <w:rsid w:val="00CE635B"/>
    <w:rsid w:val="00CE6CCC"/>
    <w:rsid w:val="00CE6F7B"/>
    <w:rsid w:val="00CE7A50"/>
    <w:rsid w:val="00CF44ED"/>
    <w:rsid w:val="00CF47BD"/>
    <w:rsid w:val="00CF6C39"/>
    <w:rsid w:val="00CF7810"/>
    <w:rsid w:val="00D05C72"/>
    <w:rsid w:val="00D07529"/>
    <w:rsid w:val="00D11214"/>
    <w:rsid w:val="00D12A14"/>
    <w:rsid w:val="00D14D8A"/>
    <w:rsid w:val="00D151BD"/>
    <w:rsid w:val="00D15299"/>
    <w:rsid w:val="00D25276"/>
    <w:rsid w:val="00D25705"/>
    <w:rsid w:val="00D267A8"/>
    <w:rsid w:val="00D279C2"/>
    <w:rsid w:val="00D3267F"/>
    <w:rsid w:val="00D33094"/>
    <w:rsid w:val="00D335BE"/>
    <w:rsid w:val="00D34C6C"/>
    <w:rsid w:val="00D356CE"/>
    <w:rsid w:val="00D3721C"/>
    <w:rsid w:val="00D411D3"/>
    <w:rsid w:val="00D42593"/>
    <w:rsid w:val="00D427C5"/>
    <w:rsid w:val="00D438B8"/>
    <w:rsid w:val="00D44B09"/>
    <w:rsid w:val="00D55B19"/>
    <w:rsid w:val="00D56A65"/>
    <w:rsid w:val="00D64797"/>
    <w:rsid w:val="00D64C28"/>
    <w:rsid w:val="00D675ED"/>
    <w:rsid w:val="00D7720D"/>
    <w:rsid w:val="00D929F5"/>
    <w:rsid w:val="00D94BCD"/>
    <w:rsid w:val="00D97783"/>
    <w:rsid w:val="00DA2653"/>
    <w:rsid w:val="00DA70DD"/>
    <w:rsid w:val="00DB215C"/>
    <w:rsid w:val="00DB27E9"/>
    <w:rsid w:val="00DB6917"/>
    <w:rsid w:val="00DB692B"/>
    <w:rsid w:val="00DD10A3"/>
    <w:rsid w:val="00DD1ECD"/>
    <w:rsid w:val="00DD587D"/>
    <w:rsid w:val="00DD5DF1"/>
    <w:rsid w:val="00DD751A"/>
    <w:rsid w:val="00DF23F9"/>
    <w:rsid w:val="00DF73B9"/>
    <w:rsid w:val="00DF7EC1"/>
    <w:rsid w:val="00E01EFB"/>
    <w:rsid w:val="00E04CC5"/>
    <w:rsid w:val="00E04D61"/>
    <w:rsid w:val="00E0693A"/>
    <w:rsid w:val="00E07095"/>
    <w:rsid w:val="00E10ED7"/>
    <w:rsid w:val="00E1325F"/>
    <w:rsid w:val="00E14850"/>
    <w:rsid w:val="00E1556A"/>
    <w:rsid w:val="00E16153"/>
    <w:rsid w:val="00E22552"/>
    <w:rsid w:val="00E23A6E"/>
    <w:rsid w:val="00E24D03"/>
    <w:rsid w:val="00E2687F"/>
    <w:rsid w:val="00E2700F"/>
    <w:rsid w:val="00E272EE"/>
    <w:rsid w:val="00E32F8E"/>
    <w:rsid w:val="00E402AE"/>
    <w:rsid w:val="00E44983"/>
    <w:rsid w:val="00E449B2"/>
    <w:rsid w:val="00E475E8"/>
    <w:rsid w:val="00E50889"/>
    <w:rsid w:val="00E52434"/>
    <w:rsid w:val="00E5730E"/>
    <w:rsid w:val="00E62ADF"/>
    <w:rsid w:val="00E72767"/>
    <w:rsid w:val="00E73AEB"/>
    <w:rsid w:val="00E93810"/>
    <w:rsid w:val="00E93C4A"/>
    <w:rsid w:val="00E96DEE"/>
    <w:rsid w:val="00EA3555"/>
    <w:rsid w:val="00EA3F8B"/>
    <w:rsid w:val="00EB0684"/>
    <w:rsid w:val="00EB0757"/>
    <w:rsid w:val="00EB527F"/>
    <w:rsid w:val="00EC4013"/>
    <w:rsid w:val="00ED7E68"/>
    <w:rsid w:val="00EE0390"/>
    <w:rsid w:val="00EE0432"/>
    <w:rsid w:val="00EE1EB3"/>
    <w:rsid w:val="00EE3F15"/>
    <w:rsid w:val="00EE7D42"/>
    <w:rsid w:val="00EF39AA"/>
    <w:rsid w:val="00EF67C2"/>
    <w:rsid w:val="00F02D42"/>
    <w:rsid w:val="00F07246"/>
    <w:rsid w:val="00F07FD7"/>
    <w:rsid w:val="00F13C77"/>
    <w:rsid w:val="00F15BC0"/>
    <w:rsid w:val="00F213FA"/>
    <w:rsid w:val="00F2150C"/>
    <w:rsid w:val="00F25B96"/>
    <w:rsid w:val="00F26854"/>
    <w:rsid w:val="00F27A63"/>
    <w:rsid w:val="00F3065E"/>
    <w:rsid w:val="00F30EE6"/>
    <w:rsid w:val="00F340A7"/>
    <w:rsid w:val="00F36B9D"/>
    <w:rsid w:val="00F403D6"/>
    <w:rsid w:val="00F41B1A"/>
    <w:rsid w:val="00F41D9C"/>
    <w:rsid w:val="00F42066"/>
    <w:rsid w:val="00F425A6"/>
    <w:rsid w:val="00F434BF"/>
    <w:rsid w:val="00F5007A"/>
    <w:rsid w:val="00F55107"/>
    <w:rsid w:val="00F57FE6"/>
    <w:rsid w:val="00F63062"/>
    <w:rsid w:val="00F64871"/>
    <w:rsid w:val="00F67B7B"/>
    <w:rsid w:val="00F7061F"/>
    <w:rsid w:val="00F7391F"/>
    <w:rsid w:val="00F82562"/>
    <w:rsid w:val="00F86045"/>
    <w:rsid w:val="00F90B73"/>
    <w:rsid w:val="00F957D8"/>
    <w:rsid w:val="00F970AF"/>
    <w:rsid w:val="00FA08E2"/>
    <w:rsid w:val="00FA3E5C"/>
    <w:rsid w:val="00FA4464"/>
    <w:rsid w:val="00FA6D41"/>
    <w:rsid w:val="00FA7855"/>
    <w:rsid w:val="00FB338D"/>
    <w:rsid w:val="00FB5FA1"/>
    <w:rsid w:val="00FB6324"/>
    <w:rsid w:val="00FC18B0"/>
    <w:rsid w:val="00FD09D1"/>
    <w:rsid w:val="00FD0DE8"/>
    <w:rsid w:val="00FD0F8A"/>
    <w:rsid w:val="00FD1587"/>
    <w:rsid w:val="00FD2E4F"/>
    <w:rsid w:val="00FD317F"/>
    <w:rsid w:val="00FD50EF"/>
    <w:rsid w:val="00FD6835"/>
    <w:rsid w:val="00FD759D"/>
    <w:rsid w:val="00FD774B"/>
    <w:rsid w:val="00FD7781"/>
    <w:rsid w:val="00FE127D"/>
    <w:rsid w:val="00FE3F5E"/>
    <w:rsid w:val="00FE4DB1"/>
    <w:rsid w:val="00FE59FF"/>
    <w:rsid w:val="00FF0430"/>
    <w:rsid w:val="00FF1DE2"/>
    <w:rsid w:val="00FF2B68"/>
    <w:rsid w:val="00FF56C4"/>
    <w:rsid w:val="00FF5D14"/>
    <w:rsid w:val="00FF6A75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962623"/>
  <w15:docId w15:val="{6B9061B6-3CCD-499A-9332-15066DC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5A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E286C"/>
    <w:rPr>
      <w:rFonts w:ascii="Arial" w:hAnsi="Arial" w:cs="Arial"/>
      <w:color w:val="000000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ofgreece.gr/RelatedDocuments/%ce%9c%ce%b5%ce%b8%ce%bf%ce%b4%ce%bf%ce%bb%ce%bf%ce%b3%ce%af%ce%b1_%ce%88%cf%81%ce%b5%cf%85%ce%bd%ce%b1%cf%82_BankLendingSurve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nkofgreece.gr/statistika/nomismatikh-kai-trapezikh-statistiki/erevna-trapezikwn-chorhghsew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C26C-DF69-4FC6-B95A-EC9E7EB4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3316</CharactersWithSpaces>
  <SharedDoc>false</SharedDoc>
  <HLinks>
    <vt:vector size="18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Section</dc:creator>
  <cp:lastModifiedBy>Mokou Maria</cp:lastModifiedBy>
  <cp:revision>2</cp:revision>
  <cp:lastPrinted>2024-10-04T11:46:00Z</cp:lastPrinted>
  <dcterms:created xsi:type="dcterms:W3CDTF">2024-10-15T08:08:00Z</dcterms:created>
  <dcterms:modified xsi:type="dcterms:W3CDTF">2024-10-15T08:08:00Z</dcterms:modified>
</cp:coreProperties>
</file>