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D8B" w:rsidRDefault="008F4323">
      <w:pPr>
        <w:widowControl w:val="0"/>
        <w:pBdr>
          <w:top w:val="nil"/>
          <w:left w:val="nil"/>
          <w:bottom w:val="nil"/>
          <w:right w:val="nil"/>
          <w:between w:val="nil"/>
        </w:pBdr>
        <w:ind w:left="2880" w:right="7564" w:firstLine="720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>
            <wp:extent cx="2000505" cy="1705192"/>
            <wp:effectExtent l="0" t="0" r="0" b="0"/>
            <wp:docPr id="1" name="image1.png" descr="C:\Users\Hercules\Desktop\ΣΥΡΙΖΑ ΝΕΟ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Hercules\Desktop\ΣΥΡΙΖΑ ΝΕΟ LOGO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505" cy="17051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F0D8B" w:rsidRDefault="008F4323">
      <w:pPr>
        <w:widowControl w:val="0"/>
        <w:pBdr>
          <w:top w:val="nil"/>
          <w:left w:val="nil"/>
          <w:bottom w:val="nil"/>
          <w:right w:val="nil"/>
          <w:between w:val="nil"/>
        </w:pBdr>
        <w:ind w:left="6067" w:right="43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Αθήνα, </w:t>
      </w:r>
      <w:r>
        <w:rPr>
          <w:b/>
          <w:sz w:val="24"/>
          <w:szCs w:val="24"/>
        </w:rPr>
        <w:t xml:space="preserve">30 Ιουλίου  2024 </w:t>
      </w:r>
    </w:p>
    <w:p w:rsidR="000F0D8B" w:rsidRDefault="000F0D8B">
      <w:pPr>
        <w:widowControl w:val="0"/>
        <w:pBdr>
          <w:top w:val="nil"/>
          <w:left w:val="nil"/>
          <w:bottom w:val="nil"/>
          <w:right w:val="nil"/>
          <w:between w:val="nil"/>
        </w:pBdr>
        <w:ind w:right="1396"/>
        <w:rPr>
          <w:b/>
          <w:i/>
          <w:sz w:val="24"/>
          <w:szCs w:val="24"/>
        </w:rPr>
      </w:pPr>
    </w:p>
    <w:p w:rsidR="000F0D8B" w:rsidRDefault="008F4323">
      <w:pPr>
        <w:widowControl w:val="0"/>
        <w:pBdr>
          <w:top w:val="nil"/>
          <w:left w:val="nil"/>
          <w:bottom w:val="nil"/>
          <w:right w:val="nil"/>
          <w:between w:val="nil"/>
        </w:pBdr>
        <w:ind w:right="139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ΠΡΟΣ </w:t>
      </w:r>
    </w:p>
    <w:p w:rsidR="000F0D8B" w:rsidRDefault="008F4323">
      <w:pPr>
        <w:widowControl w:val="0"/>
        <w:pBdr>
          <w:top w:val="nil"/>
          <w:left w:val="nil"/>
          <w:bottom w:val="nil"/>
          <w:right w:val="nil"/>
          <w:between w:val="nil"/>
        </w:pBdr>
        <w:ind w:right="139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τον κ. Πρόεδρο της Ειδικής Μόνιμης Επιτροπής Θεσμών και Διαφάνειας </w:t>
      </w:r>
    </w:p>
    <w:p w:rsidR="000F0D8B" w:rsidRDefault="000F0D8B">
      <w:pPr>
        <w:widowControl w:val="0"/>
        <w:pBdr>
          <w:top w:val="nil"/>
          <w:left w:val="nil"/>
          <w:bottom w:val="nil"/>
          <w:right w:val="nil"/>
          <w:between w:val="nil"/>
        </w:pBdr>
        <w:ind w:right="2870"/>
        <w:rPr>
          <w:b/>
          <w:sz w:val="24"/>
          <w:szCs w:val="24"/>
        </w:rPr>
      </w:pPr>
    </w:p>
    <w:p w:rsidR="000F0D8B" w:rsidRDefault="008F4323">
      <w:pPr>
        <w:widowControl w:val="0"/>
        <w:pBdr>
          <w:top w:val="nil"/>
          <w:left w:val="nil"/>
          <w:bottom w:val="nil"/>
          <w:right w:val="nil"/>
          <w:between w:val="nil"/>
        </w:pBdr>
        <w:ind w:right="287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Κοινοποίηση προς τον κ. Πρόεδρο της Βουλής </w:t>
      </w:r>
    </w:p>
    <w:p w:rsidR="000F0D8B" w:rsidRDefault="000F0D8B">
      <w:pPr>
        <w:widowControl w:val="0"/>
        <w:pBdr>
          <w:top w:val="nil"/>
          <w:left w:val="nil"/>
          <w:bottom w:val="nil"/>
          <w:right w:val="nil"/>
          <w:between w:val="nil"/>
        </w:pBdr>
        <w:ind w:right="604"/>
        <w:rPr>
          <w:b/>
          <w:sz w:val="24"/>
          <w:szCs w:val="24"/>
        </w:rPr>
      </w:pPr>
    </w:p>
    <w:p w:rsidR="000F0D8B" w:rsidRDefault="008F4323">
      <w:pPr>
        <w:widowControl w:val="0"/>
        <w:pBdr>
          <w:top w:val="nil"/>
          <w:left w:val="nil"/>
          <w:bottom w:val="nil"/>
          <w:right w:val="nil"/>
          <w:between w:val="nil"/>
        </w:pBdr>
        <w:ind w:right="60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ΘΕΜΑ: «ΑΙΤΗΜΑ ΣΥΓΚΛΗΣΗΣ ΤΗΣ ΕΠΙΤΡΟΠΗΣ ΒΑΣΕΙ ΑΡΘΡΟΥ 43Α ΚΑΝΟΝΙΣΜΟΥ ΤΗΣ ΒΟΥΛΗΣ ΓΙΑ ΤΗ ΔΙΑΤΑΞΗ ΤΗΣ ΕΙΣΑΓΓΕΛΕΩΣ </w:t>
      </w:r>
      <w:r w:rsidR="00137B11">
        <w:rPr>
          <w:b/>
          <w:sz w:val="24"/>
          <w:szCs w:val="24"/>
        </w:rPr>
        <w:t xml:space="preserve">ΠΕΡΙ ΑΡΧΕΙΟΘΕΤΗΣΗΣ </w:t>
      </w:r>
      <w:r>
        <w:rPr>
          <w:b/>
          <w:sz w:val="24"/>
          <w:szCs w:val="24"/>
        </w:rPr>
        <w:t>ΤΟΥ ΣΚΑΝΔΑΛΟΥ ΤΩΝ ΥΠΟΚΛΟΠΩΝ  »</w:t>
      </w:r>
    </w:p>
    <w:p w:rsidR="000F0D8B" w:rsidRDefault="000F0D8B">
      <w:pPr>
        <w:widowControl w:val="0"/>
        <w:pBdr>
          <w:top w:val="nil"/>
          <w:left w:val="nil"/>
          <w:bottom w:val="nil"/>
          <w:right w:val="nil"/>
          <w:between w:val="nil"/>
        </w:pBdr>
        <w:ind w:right="216"/>
        <w:jc w:val="both"/>
        <w:rPr>
          <w:sz w:val="24"/>
          <w:szCs w:val="24"/>
        </w:rPr>
      </w:pPr>
    </w:p>
    <w:p w:rsidR="000F0D8B" w:rsidRDefault="008F4323">
      <w:pPr>
        <w:widowControl w:val="0"/>
        <w:pBdr>
          <w:top w:val="nil"/>
          <w:left w:val="nil"/>
          <w:bottom w:val="nil"/>
          <w:right w:val="nil"/>
          <w:between w:val="nil"/>
        </w:pBdr>
        <w:ind w:right="216"/>
        <w:rPr>
          <w:sz w:val="24"/>
          <w:szCs w:val="24"/>
        </w:rPr>
      </w:pPr>
      <w:r>
        <w:rPr>
          <w:sz w:val="24"/>
          <w:szCs w:val="24"/>
        </w:rPr>
        <w:t>Αξιότιμε κ. Πρόεδρε,</w:t>
      </w:r>
    </w:p>
    <w:p w:rsidR="000F0D8B" w:rsidRDefault="000F0D8B">
      <w:pPr>
        <w:widowControl w:val="0"/>
        <w:pBdr>
          <w:top w:val="nil"/>
          <w:left w:val="nil"/>
          <w:bottom w:val="nil"/>
          <w:right w:val="nil"/>
          <w:between w:val="nil"/>
        </w:pBdr>
        <w:ind w:right="216"/>
        <w:rPr>
          <w:sz w:val="24"/>
          <w:szCs w:val="24"/>
        </w:rPr>
      </w:pPr>
    </w:p>
    <w:p w:rsidR="000F0D8B" w:rsidRDefault="008F4323">
      <w:pPr>
        <w:widowControl w:val="0"/>
        <w:pBdr>
          <w:top w:val="nil"/>
          <w:left w:val="nil"/>
          <w:bottom w:val="nil"/>
          <w:right w:val="nil"/>
          <w:between w:val="nil"/>
        </w:pBdr>
        <w:ind w:right="216"/>
        <w:jc w:val="both"/>
        <w:rPr>
          <w:sz w:val="24"/>
          <w:szCs w:val="24"/>
        </w:rPr>
      </w:pPr>
      <w:r>
        <w:rPr>
          <w:sz w:val="24"/>
          <w:szCs w:val="24"/>
        </w:rPr>
        <w:t>Με την παρούσα επιστολή σας καλούμε να συγκαλέσετε άμεσα σε έκτακτη συνεδρίαση την Επιτροπή βάσει του άρθρου 43Α του Κα</w:t>
      </w:r>
      <w:r w:rsidR="00137B11">
        <w:rPr>
          <w:sz w:val="24"/>
          <w:szCs w:val="24"/>
        </w:rPr>
        <w:t>νονισμού της Βουλής, στην οποία</w:t>
      </w:r>
      <w:r w:rsidR="00D703C4">
        <w:rPr>
          <w:sz w:val="24"/>
          <w:szCs w:val="24"/>
        </w:rPr>
        <w:t xml:space="preserve"> να κληθούν</w:t>
      </w:r>
      <w:r w:rsidR="00137B11">
        <w:rPr>
          <w:sz w:val="24"/>
          <w:szCs w:val="24"/>
        </w:rPr>
        <w:t xml:space="preserve"> η</w:t>
      </w:r>
      <w:r>
        <w:rPr>
          <w:sz w:val="24"/>
          <w:szCs w:val="24"/>
        </w:rPr>
        <w:t xml:space="preserve"> </w:t>
      </w:r>
      <w:r w:rsidR="00137B11">
        <w:rPr>
          <w:sz w:val="24"/>
          <w:szCs w:val="24"/>
        </w:rPr>
        <w:t>Εισαγγελέας του Αρείου Πάγου κ.</w:t>
      </w:r>
      <w:r>
        <w:rPr>
          <w:sz w:val="24"/>
          <w:szCs w:val="24"/>
        </w:rPr>
        <w:t xml:space="preserve"> Γεωργία </w:t>
      </w:r>
      <w:proofErr w:type="spellStart"/>
      <w:r>
        <w:rPr>
          <w:sz w:val="24"/>
          <w:szCs w:val="24"/>
        </w:rPr>
        <w:t>Αδειλίνη</w:t>
      </w:r>
      <w:proofErr w:type="spellEnd"/>
      <w:r>
        <w:rPr>
          <w:sz w:val="24"/>
          <w:szCs w:val="24"/>
        </w:rPr>
        <w:t>, καθώς και</w:t>
      </w:r>
      <w:r>
        <w:rPr>
          <w:sz w:val="24"/>
          <w:szCs w:val="24"/>
        </w:rPr>
        <w:t xml:space="preserve"> ο Αντιεισαγγελέας του Αρεί</w:t>
      </w:r>
      <w:r w:rsidR="00137B11">
        <w:rPr>
          <w:sz w:val="24"/>
          <w:szCs w:val="24"/>
        </w:rPr>
        <w:t>ου Πάγου κ. Αχιλλέας Ζήσης προκειμένου</w:t>
      </w:r>
      <w:r>
        <w:rPr>
          <w:sz w:val="24"/>
          <w:szCs w:val="24"/>
        </w:rPr>
        <w:t xml:space="preserve"> να μας ενημερώσουν, </w:t>
      </w:r>
      <w:r w:rsidR="00CF67EB">
        <w:rPr>
          <w:sz w:val="24"/>
          <w:szCs w:val="24"/>
        </w:rPr>
        <w:t xml:space="preserve">αλλά και για να </w:t>
      </w:r>
      <w:r>
        <w:rPr>
          <w:sz w:val="24"/>
          <w:szCs w:val="24"/>
        </w:rPr>
        <w:t>δοθεί</w:t>
      </w:r>
      <w:r w:rsidR="00CF67EB">
        <w:rPr>
          <w:sz w:val="24"/>
          <w:szCs w:val="24"/>
        </w:rPr>
        <w:t xml:space="preserve"> στα μέλη της Επιτροπής</w:t>
      </w:r>
      <w:r>
        <w:rPr>
          <w:sz w:val="24"/>
          <w:szCs w:val="24"/>
        </w:rPr>
        <w:t xml:space="preserve"> το σύνολο της δικογραφίας του σκανδάλου των υποκλοπών, για το οποίο εκδόθηκε η σχετική διάταξη της Εισαγγελέ</w:t>
      </w:r>
      <w:r w:rsidR="00D703C4">
        <w:rPr>
          <w:sz w:val="24"/>
          <w:szCs w:val="24"/>
        </w:rPr>
        <w:t>ως του Αρείου Πάγου</w:t>
      </w:r>
      <w:r>
        <w:rPr>
          <w:sz w:val="24"/>
          <w:szCs w:val="24"/>
        </w:rPr>
        <w:t xml:space="preserve"> «περί αρ</w:t>
      </w:r>
      <w:r w:rsidR="00137B11">
        <w:rPr>
          <w:sz w:val="24"/>
          <w:szCs w:val="24"/>
        </w:rPr>
        <w:t>χειοθέτησης της υπόθεσης των υποκλοπών» και οπωσδήποτε μεταξύ των εγγράφων αυτής</w:t>
      </w:r>
      <w:r>
        <w:rPr>
          <w:sz w:val="24"/>
          <w:szCs w:val="24"/>
        </w:rPr>
        <w:t xml:space="preserve"> :</w:t>
      </w:r>
    </w:p>
    <w:p w:rsidR="000F0D8B" w:rsidRDefault="000F0D8B">
      <w:pPr>
        <w:widowControl w:val="0"/>
        <w:pBdr>
          <w:top w:val="nil"/>
          <w:left w:val="nil"/>
          <w:bottom w:val="nil"/>
          <w:right w:val="nil"/>
          <w:between w:val="nil"/>
        </w:pBdr>
        <w:ind w:right="216"/>
        <w:jc w:val="both"/>
        <w:rPr>
          <w:sz w:val="24"/>
          <w:szCs w:val="24"/>
        </w:rPr>
      </w:pPr>
    </w:p>
    <w:p w:rsidR="000F0D8B" w:rsidRDefault="00137B1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2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Το πολυσέλιδο (εκ 300 σελίδων</w:t>
      </w:r>
      <w:r w:rsidR="008F4323">
        <w:rPr>
          <w:color w:val="000000"/>
          <w:sz w:val="24"/>
          <w:szCs w:val="24"/>
        </w:rPr>
        <w:t>) πόρισμα του Αντιεισαγγελέα του Αρείου Πάγου κ. Αχιλ</w:t>
      </w:r>
      <w:r>
        <w:rPr>
          <w:color w:val="000000"/>
          <w:sz w:val="24"/>
          <w:szCs w:val="24"/>
        </w:rPr>
        <w:t xml:space="preserve">λέα Ζήση, ο οποίος διενήργησε </w:t>
      </w:r>
      <w:r w:rsidR="008F4323">
        <w:rPr>
          <w:color w:val="000000"/>
          <w:sz w:val="24"/>
          <w:szCs w:val="24"/>
        </w:rPr>
        <w:t xml:space="preserve"> Προκαταρτική Εξέταση</w:t>
      </w:r>
      <w:r w:rsidR="00D703C4">
        <w:rPr>
          <w:color w:val="000000"/>
          <w:sz w:val="24"/>
          <w:szCs w:val="24"/>
        </w:rPr>
        <w:t>.</w:t>
      </w:r>
    </w:p>
    <w:p w:rsidR="000F0D8B" w:rsidRDefault="008F432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2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Τη </w:t>
      </w:r>
      <w:r w:rsidR="00D703C4">
        <w:rPr>
          <w:color w:val="000000"/>
          <w:sz w:val="24"/>
          <w:szCs w:val="24"/>
        </w:rPr>
        <w:t xml:space="preserve">σχετική </w:t>
      </w:r>
      <w:r>
        <w:rPr>
          <w:color w:val="000000"/>
          <w:sz w:val="24"/>
          <w:szCs w:val="24"/>
        </w:rPr>
        <w:t>διάταξη της Εισαγγελέως του Αρείου Πάγου περί «αρχειοθέτησης της υπόθεσης»</w:t>
      </w:r>
      <w:r w:rsidR="00D703C4">
        <w:rPr>
          <w:color w:val="000000"/>
          <w:sz w:val="24"/>
          <w:szCs w:val="24"/>
        </w:rPr>
        <w:t>.</w:t>
      </w:r>
    </w:p>
    <w:p w:rsidR="000F0D8B" w:rsidRDefault="008F432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21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Τα </w:t>
      </w:r>
      <w:r>
        <w:rPr>
          <w:color w:val="000000"/>
          <w:sz w:val="24"/>
          <w:szCs w:val="24"/>
        </w:rPr>
        <w:t>πορ</w:t>
      </w:r>
      <w:r>
        <w:rPr>
          <w:sz w:val="24"/>
          <w:szCs w:val="24"/>
        </w:rPr>
        <w:t>ίσμα</w:t>
      </w:r>
      <w:r>
        <w:rPr>
          <w:sz w:val="24"/>
          <w:szCs w:val="24"/>
        </w:rPr>
        <w:t>τα</w:t>
      </w:r>
      <w:r>
        <w:rPr>
          <w:color w:val="000000"/>
          <w:sz w:val="24"/>
          <w:szCs w:val="24"/>
        </w:rPr>
        <w:t xml:space="preserve"> των Ανεξάρτητων Αρχών και των άλλων φορέων, π</w:t>
      </w:r>
      <w:r w:rsidR="00137B11">
        <w:rPr>
          <w:color w:val="000000"/>
          <w:sz w:val="24"/>
          <w:szCs w:val="24"/>
        </w:rPr>
        <w:t xml:space="preserve">ου αναφέρονται στην ανακοίνωση </w:t>
      </w:r>
      <w:r>
        <w:rPr>
          <w:color w:val="000000"/>
          <w:sz w:val="24"/>
          <w:szCs w:val="24"/>
        </w:rPr>
        <w:t>της Ε</w:t>
      </w:r>
      <w:r w:rsidR="00214D35">
        <w:rPr>
          <w:color w:val="000000"/>
          <w:sz w:val="24"/>
          <w:szCs w:val="24"/>
        </w:rPr>
        <w:t xml:space="preserve">ισαγγελέως του Αρείου Πάγου κ. </w:t>
      </w:r>
      <w:r>
        <w:rPr>
          <w:color w:val="000000"/>
          <w:sz w:val="24"/>
          <w:szCs w:val="24"/>
        </w:rPr>
        <w:t xml:space="preserve">Γεωργίας </w:t>
      </w:r>
      <w:proofErr w:type="spellStart"/>
      <w:r>
        <w:rPr>
          <w:color w:val="000000"/>
          <w:sz w:val="24"/>
          <w:szCs w:val="24"/>
        </w:rPr>
        <w:t>Αδειλίνη</w:t>
      </w:r>
      <w:proofErr w:type="spellEnd"/>
      <w:r w:rsidR="00D703C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0F0D8B" w:rsidRDefault="000F0D8B">
      <w:pPr>
        <w:widowControl w:val="0"/>
        <w:pBdr>
          <w:top w:val="nil"/>
          <w:left w:val="nil"/>
          <w:bottom w:val="nil"/>
          <w:right w:val="nil"/>
          <w:between w:val="nil"/>
        </w:pBdr>
        <w:ind w:right="216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0F0D8B" w:rsidRDefault="008F4323">
      <w:pPr>
        <w:widowControl w:val="0"/>
        <w:pBdr>
          <w:top w:val="nil"/>
          <w:left w:val="nil"/>
          <w:bottom w:val="nil"/>
          <w:right w:val="nil"/>
          <w:between w:val="nil"/>
        </w:pBdr>
        <w:ind w:right="216"/>
        <w:jc w:val="both"/>
        <w:rPr>
          <w:sz w:val="24"/>
          <w:szCs w:val="24"/>
        </w:rPr>
      </w:pPr>
      <w:bookmarkStart w:id="0" w:name="_GoBack"/>
      <w:bookmarkEnd w:id="0"/>
      <w:r>
        <w:rPr>
          <w:b/>
          <w:i/>
          <w:sz w:val="24"/>
          <w:szCs w:val="24"/>
        </w:rPr>
        <w:lastRenderedPageBreak/>
        <w:t>Επειδή</w:t>
      </w:r>
      <w:r>
        <w:rPr>
          <w:sz w:val="24"/>
          <w:szCs w:val="24"/>
        </w:rPr>
        <w:t xml:space="preserve"> στην αρμοδιότητα της Επιτροπής κατά το άρθρο 43Α του </w:t>
      </w:r>
      <w:proofErr w:type="spellStart"/>
      <w:r>
        <w:rPr>
          <w:sz w:val="24"/>
          <w:szCs w:val="24"/>
        </w:rPr>
        <w:t>ΚτΒ</w:t>
      </w:r>
      <w:proofErr w:type="spellEnd"/>
      <w:r>
        <w:rPr>
          <w:sz w:val="24"/>
          <w:szCs w:val="24"/>
        </w:rPr>
        <w:t xml:space="preserve"> ανήκει </w:t>
      </w:r>
      <w:r>
        <w:rPr>
          <w:i/>
          <w:sz w:val="24"/>
          <w:szCs w:val="24"/>
        </w:rPr>
        <w:t xml:space="preserve">«ο κοινοβουλευτικός έλεγχος για τα ζητήματα που </w:t>
      </w:r>
      <w:r>
        <w:rPr>
          <w:i/>
          <w:sz w:val="24"/>
          <w:szCs w:val="24"/>
        </w:rPr>
        <w:t xml:space="preserve">αφορούν τη δραστηριότητα της Εθνικής Υπηρεσίας Πληροφοριών (Ε.Υ.Π.)», </w:t>
      </w:r>
      <w:r>
        <w:rPr>
          <w:sz w:val="24"/>
          <w:szCs w:val="24"/>
        </w:rPr>
        <w:t xml:space="preserve">ενώ επιπλέον </w:t>
      </w:r>
      <w:r>
        <w:rPr>
          <w:i/>
          <w:sz w:val="24"/>
          <w:szCs w:val="24"/>
        </w:rPr>
        <w:t xml:space="preserve">«Η επιτροπή μπορεί να καλεί σε ακρόαση λειτουργούς του κράτους, καθώς και οποιοδήποτε δημόσιο πρόσωπο για θέματα που αφορούν στη λειτουργία των θεσμών και της διαφάνειας, η </w:t>
      </w:r>
      <w:r>
        <w:rPr>
          <w:i/>
          <w:sz w:val="24"/>
          <w:szCs w:val="24"/>
        </w:rPr>
        <w:t>προσέλευση των οποίων είναι υποχρεωτική. Η επιτροπή μπορεί να καλεί σε ακρόαση τον πρόεδρο και τους αντιπροέδρους […] του Αρείου Πάγου για θέματα που αφορούν σε λειτουργικά ζητήματα της δικαιοσύνης προς το σκοπό της ενίσχυσης της διαφάνειας.»</w:t>
      </w:r>
      <w:r>
        <w:rPr>
          <w:sz w:val="24"/>
          <w:szCs w:val="24"/>
        </w:rPr>
        <w:t xml:space="preserve">, </w:t>
      </w:r>
    </w:p>
    <w:p w:rsidR="000F0D8B" w:rsidRDefault="000F0D8B">
      <w:pPr>
        <w:widowControl w:val="0"/>
        <w:pBdr>
          <w:top w:val="nil"/>
          <w:left w:val="nil"/>
          <w:bottom w:val="nil"/>
          <w:right w:val="nil"/>
          <w:between w:val="nil"/>
        </w:pBdr>
        <w:ind w:right="216"/>
        <w:jc w:val="both"/>
        <w:rPr>
          <w:b/>
          <w:sz w:val="24"/>
          <w:szCs w:val="24"/>
        </w:rPr>
      </w:pPr>
    </w:p>
    <w:p w:rsidR="000F0D8B" w:rsidRDefault="008F4323">
      <w:pPr>
        <w:widowControl w:val="0"/>
        <w:pBdr>
          <w:top w:val="nil"/>
          <w:left w:val="nil"/>
          <w:bottom w:val="nil"/>
          <w:right w:val="nil"/>
          <w:between w:val="nil"/>
        </w:pBdr>
        <w:ind w:right="216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Επειδή </w:t>
      </w:r>
      <w:r>
        <w:rPr>
          <w:sz w:val="24"/>
          <w:szCs w:val="24"/>
        </w:rPr>
        <w:t xml:space="preserve">το σκάνδαλο των υποκλοπών ΕΥΠ-Μαξίμου </w:t>
      </w:r>
      <w:r>
        <w:rPr>
          <w:b/>
          <w:sz w:val="24"/>
          <w:szCs w:val="24"/>
        </w:rPr>
        <w:t>συντάραξε τα θεμέλια της Δημοκρατίας στη χώρα μας</w:t>
      </w:r>
      <w:r>
        <w:rPr>
          <w:sz w:val="24"/>
          <w:szCs w:val="24"/>
        </w:rPr>
        <w:t>, συνιστάμενο σε παράνομες παρακολουθήσεις όχι μόνο πολιτικών προσώπων,  Υπουργών, Ανώτατων Στελεχών των Ενόπλων Δυνάμεων, πρώην Υπουργών και στελεχών της Αξιωματικής Αν</w:t>
      </w:r>
      <w:r>
        <w:rPr>
          <w:sz w:val="24"/>
          <w:szCs w:val="24"/>
        </w:rPr>
        <w:t xml:space="preserve">τιπολίτευσης, του υποψήφιου τότε αρχηγού του τρίτου κόμματος κατά την κοινοβουλευτική τάξη, Βουλευτών και Ευρωβουλευτών, δημοσιογράφων αλλά και ιδιωτών, </w:t>
      </w:r>
    </w:p>
    <w:p w:rsidR="000F0D8B" w:rsidRDefault="000F0D8B">
      <w:pPr>
        <w:widowControl w:val="0"/>
        <w:pBdr>
          <w:top w:val="nil"/>
          <w:left w:val="nil"/>
          <w:bottom w:val="nil"/>
          <w:right w:val="nil"/>
          <w:between w:val="nil"/>
        </w:pBdr>
        <w:ind w:right="216"/>
        <w:jc w:val="both"/>
        <w:rPr>
          <w:sz w:val="24"/>
          <w:szCs w:val="24"/>
        </w:rPr>
      </w:pPr>
    </w:p>
    <w:p w:rsidR="000F0D8B" w:rsidRDefault="008F4323">
      <w:pPr>
        <w:widowControl w:val="0"/>
        <w:pBdr>
          <w:top w:val="nil"/>
          <w:left w:val="nil"/>
          <w:bottom w:val="nil"/>
          <w:right w:val="nil"/>
          <w:between w:val="nil"/>
        </w:pBdr>
        <w:ind w:right="216"/>
        <w:jc w:val="both"/>
        <w:rPr>
          <w:sz w:val="24"/>
          <w:szCs w:val="24"/>
        </w:rPr>
      </w:pPr>
      <w:r>
        <w:rPr>
          <w:b/>
          <w:sz w:val="24"/>
          <w:szCs w:val="24"/>
        </w:rPr>
        <w:t>Επειδή</w:t>
      </w:r>
      <w:r>
        <w:rPr>
          <w:sz w:val="24"/>
          <w:szCs w:val="24"/>
        </w:rPr>
        <w:t xml:space="preserve"> θα έπρεπε το παραπάνω πόρισμα να έχει έλθει πάραυτα, δηλαδή εχ</w:t>
      </w:r>
      <w:r w:rsidR="00D703C4">
        <w:rPr>
          <w:sz w:val="24"/>
          <w:szCs w:val="24"/>
        </w:rPr>
        <w:t xml:space="preserve">θές, στη Βουλή των Ελλήνων και </w:t>
      </w:r>
      <w:r>
        <w:rPr>
          <w:sz w:val="24"/>
          <w:szCs w:val="24"/>
        </w:rPr>
        <w:t xml:space="preserve">να έχει </w:t>
      </w:r>
      <w:r w:rsidR="00D703C4">
        <w:rPr>
          <w:sz w:val="24"/>
          <w:szCs w:val="24"/>
        </w:rPr>
        <w:t xml:space="preserve">τουλάχιστον </w:t>
      </w:r>
      <w:r>
        <w:rPr>
          <w:sz w:val="24"/>
          <w:szCs w:val="24"/>
        </w:rPr>
        <w:t>επιδοθεί στους</w:t>
      </w:r>
      <w:r w:rsidR="00D703C4">
        <w:rPr>
          <w:sz w:val="24"/>
          <w:szCs w:val="24"/>
        </w:rPr>
        <w:t xml:space="preserve"> Πολιτικούς Αρχηγούς και ιδίως </w:t>
      </w:r>
      <w:r>
        <w:rPr>
          <w:sz w:val="24"/>
          <w:szCs w:val="24"/>
        </w:rPr>
        <w:t>στον κ. Ανδρουλάκη ως άμεσα θιγόμενο</w:t>
      </w:r>
      <w:r w:rsidR="00D703C4">
        <w:rPr>
          <w:sz w:val="24"/>
          <w:szCs w:val="24"/>
        </w:rPr>
        <w:t>,</w:t>
      </w:r>
    </w:p>
    <w:p w:rsidR="000F0D8B" w:rsidRDefault="000F0D8B">
      <w:pPr>
        <w:widowControl w:val="0"/>
        <w:pBdr>
          <w:top w:val="nil"/>
          <w:left w:val="nil"/>
          <w:bottom w:val="nil"/>
          <w:right w:val="nil"/>
          <w:between w:val="nil"/>
        </w:pBdr>
        <w:ind w:right="216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0F0D8B" w:rsidRDefault="008F432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Επειδή</w:t>
      </w:r>
      <w:r w:rsidR="00137B11">
        <w:rPr>
          <w:sz w:val="24"/>
          <w:szCs w:val="24"/>
        </w:rPr>
        <w:t xml:space="preserve"> σε κάθε περίπτωση </w:t>
      </w:r>
      <w:r w:rsidR="00D703C4">
        <w:rPr>
          <w:sz w:val="24"/>
          <w:szCs w:val="24"/>
        </w:rPr>
        <w:t xml:space="preserve">η Επιτροπή Θεσμών και Διαφάνειας </w:t>
      </w:r>
      <w:r w:rsidR="00137B11">
        <w:rPr>
          <w:sz w:val="24"/>
          <w:szCs w:val="24"/>
        </w:rPr>
        <w:t xml:space="preserve">πρέπει να </w:t>
      </w:r>
      <w:r w:rsidR="00D703C4">
        <w:rPr>
          <w:sz w:val="24"/>
          <w:szCs w:val="24"/>
        </w:rPr>
        <w:t xml:space="preserve">λάβει γνώση των παραδοχών και αιτιολογιών επί τη βάσει των οποίων ερείδεται η δικανική κρίση των προαναφερόμενων εισαγγελικών λειτουργών για την πράξη αρχειοθέτησης της υποθέσεως.  </w:t>
      </w:r>
    </w:p>
    <w:p w:rsidR="000F0D8B" w:rsidRDefault="000F0D8B">
      <w:pPr>
        <w:jc w:val="both"/>
        <w:rPr>
          <w:sz w:val="24"/>
          <w:szCs w:val="24"/>
        </w:rPr>
      </w:pPr>
    </w:p>
    <w:p w:rsidR="000F0D8B" w:rsidRDefault="008F4323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Κατόπιν τούτων</w:t>
      </w:r>
    </w:p>
    <w:p w:rsidR="000F0D8B" w:rsidRDefault="008F432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Αιτούμαστε</w:t>
      </w:r>
    </w:p>
    <w:p w:rsidR="000F0D8B" w:rsidRDefault="008F4323" w:rsidP="00D703C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Την σύγκληση της Επιτροπής για την συζήτηση και λήψη αποφάσεων για τα ανωτέρω ζητήματα.</w:t>
      </w:r>
    </w:p>
    <w:p w:rsidR="000F0D8B" w:rsidRDefault="000F0D8B">
      <w:pPr>
        <w:widowControl w:val="0"/>
        <w:pBdr>
          <w:top w:val="nil"/>
          <w:left w:val="nil"/>
          <w:bottom w:val="nil"/>
          <w:right w:val="nil"/>
          <w:between w:val="nil"/>
        </w:pBdr>
        <w:ind w:right="216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0F0D8B" w:rsidRDefault="000F0D8B">
      <w:pPr>
        <w:widowControl w:val="0"/>
        <w:pBdr>
          <w:top w:val="nil"/>
          <w:left w:val="nil"/>
          <w:bottom w:val="nil"/>
          <w:right w:val="nil"/>
          <w:between w:val="nil"/>
        </w:pBdr>
        <w:ind w:right="1276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0F0D8B" w:rsidRDefault="008F4323">
      <w:pPr>
        <w:widowControl w:val="0"/>
        <w:pBdr>
          <w:top w:val="nil"/>
          <w:left w:val="nil"/>
          <w:bottom w:val="nil"/>
          <w:right w:val="nil"/>
          <w:between w:val="nil"/>
        </w:pBdr>
        <w:ind w:left="1588" w:right="1276" w:hanging="14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Οι Βουλευτές-μέλη </w:t>
      </w:r>
    </w:p>
    <w:p w:rsidR="000F0D8B" w:rsidRDefault="008F4323">
      <w:pPr>
        <w:widowControl w:val="0"/>
        <w:pBdr>
          <w:top w:val="nil"/>
          <w:left w:val="nil"/>
          <w:bottom w:val="nil"/>
          <w:right w:val="nil"/>
          <w:between w:val="nil"/>
        </w:pBdr>
        <w:ind w:left="1588" w:right="1276" w:hanging="14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της Ειδικής Μόνιμης Επιτροπής Θεσμών και Διαφάνειας</w:t>
      </w:r>
    </w:p>
    <w:p w:rsidR="000F0D8B" w:rsidRDefault="000F0D8B">
      <w:pPr>
        <w:widowControl w:val="0"/>
        <w:pBdr>
          <w:top w:val="nil"/>
          <w:left w:val="nil"/>
          <w:bottom w:val="nil"/>
          <w:right w:val="nil"/>
          <w:between w:val="nil"/>
        </w:pBdr>
        <w:ind w:left="1588" w:right="1276" w:hanging="1444"/>
        <w:jc w:val="center"/>
        <w:rPr>
          <w:b/>
          <w:sz w:val="24"/>
          <w:szCs w:val="24"/>
        </w:rPr>
      </w:pPr>
    </w:p>
    <w:p w:rsidR="000F0D8B" w:rsidRDefault="008F4323">
      <w:pPr>
        <w:widowControl w:val="0"/>
        <w:pBdr>
          <w:top w:val="nil"/>
          <w:left w:val="nil"/>
          <w:bottom w:val="nil"/>
          <w:right w:val="nil"/>
          <w:between w:val="nil"/>
        </w:pBdr>
        <w:ind w:left="1588" w:right="1276" w:hanging="14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Τζάκρη Θεοδώρα</w:t>
      </w:r>
    </w:p>
    <w:p w:rsidR="000F0D8B" w:rsidRDefault="008F4323">
      <w:pPr>
        <w:widowControl w:val="0"/>
        <w:pBdr>
          <w:top w:val="nil"/>
          <w:left w:val="nil"/>
          <w:bottom w:val="nil"/>
          <w:right w:val="nil"/>
          <w:between w:val="nil"/>
        </w:pBdr>
        <w:ind w:left="1588" w:right="1276" w:hanging="14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Ξανθόπουλος Θεόφιλος</w:t>
      </w:r>
    </w:p>
    <w:p w:rsidR="000F0D8B" w:rsidRDefault="008F4323">
      <w:pPr>
        <w:widowControl w:val="0"/>
        <w:pBdr>
          <w:top w:val="nil"/>
          <w:left w:val="nil"/>
          <w:bottom w:val="nil"/>
          <w:right w:val="nil"/>
          <w:between w:val="nil"/>
        </w:pBdr>
        <w:ind w:left="1588" w:right="1276" w:hanging="14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Χρηστίδου </w:t>
      </w:r>
      <w:proofErr w:type="spellStart"/>
      <w:r>
        <w:rPr>
          <w:b/>
          <w:sz w:val="24"/>
          <w:szCs w:val="24"/>
        </w:rPr>
        <w:t>Ραλλία</w:t>
      </w:r>
      <w:proofErr w:type="spellEnd"/>
    </w:p>
    <w:p w:rsidR="000F0D8B" w:rsidRDefault="008F4323">
      <w:pPr>
        <w:widowControl w:val="0"/>
        <w:pBdr>
          <w:top w:val="nil"/>
          <w:left w:val="nil"/>
          <w:bottom w:val="nil"/>
          <w:right w:val="nil"/>
          <w:between w:val="nil"/>
        </w:pBdr>
        <w:ind w:left="3792" w:right="3417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sectPr w:rsidR="000F0D8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5401E"/>
    <w:multiLevelType w:val="multilevel"/>
    <w:tmpl w:val="FFAE3C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8B"/>
    <w:rsid w:val="000F0D8B"/>
    <w:rsid w:val="00137B11"/>
    <w:rsid w:val="00214D35"/>
    <w:rsid w:val="00772844"/>
    <w:rsid w:val="008F4323"/>
    <w:rsid w:val="00CF67EB"/>
    <w:rsid w:val="00D7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F4329"/>
  <w15:docId w15:val="{A1BA4DBA-AD98-42B5-892B-0BEA341F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Κουτσοκέρας Απόστολος</dc:creator>
  <cp:lastModifiedBy>Κουτσοκέρας Απόστολος</cp:lastModifiedBy>
  <cp:revision>6</cp:revision>
  <dcterms:created xsi:type="dcterms:W3CDTF">2024-07-31T09:38:00Z</dcterms:created>
  <dcterms:modified xsi:type="dcterms:W3CDTF">2024-07-31T10:05:00Z</dcterms:modified>
</cp:coreProperties>
</file>