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392D" w14:textId="3F796DC5" w:rsidR="00C0609F" w:rsidRPr="00226AC7" w:rsidRDefault="00E57AF4" w:rsidP="00D75B13">
      <w:pPr>
        <w:tabs>
          <w:tab w:val="left" w:pos="-142"/>
        </w:tabs>
        <w:ind w:left="-567" w:right="-567"/>
        <w:jc w:val="both"/>
        <w:rPr>
          <w:rFonts w:ascii="Eurobank Sans" w:hAnsi="Eurobank Sans"/>
          <w:bCs/>
          <w:color w:val="021342"/>
          <w:sz w:val="24"/>
          <w:szCs w:val="24"/>
        </w:rPr>
      </w:pP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Pr>
          <w:rFonts w:ascii="Eurobank Sans" w:hAnsi="Eurobank Sans"/>
          <w:bCs/>
          <w:color w:val="021342"/>
          <w:sz w:val="24"/>
          <w:szCs w:val="24"/>
        </w:rPr>
        <w:tab/>
      </w:r>
      <w:r w:rsidR="00C0609F" w:rsidRPr="00C0609F">
        <w:rPr>
          <w:rFonts w:ascii="Eurobank Sans" w:hAnsi="Eurobank Sans"/>
          <w:bCs/>
          <w:color w:val="021342"/>
          <w:sz w:val="24"/>
          <w:szCs w:val="24"/>
        </w:rPr>
        <w:t xml:space="preserve">Αθήνα, </w:t>
      </w:r>
      <w:r w:rsidR="00A10E92" w:rsidRPr="00226AC7">
        <w:rPr>
          <w:rFonts w:ascii="Eurobank Sans" w:hAnsi="Eurobank Sans"/>
          <w:bCs/>
          <w:color w:val="021342"/>
          <w:sz w:val="24"/>
          <w:szCs w:val="24"/>
        </w:rPr>
        <w:t>18</w:t>
      </w:r>
      <w:r w:rsidR="00C0609F" w:rsidRPr="00C0609F">
        <w:rPr>
          <w:rFonts w:ascii="Eurobank Sans" w:hAnsi="Eurobank Sans"/>
          <w:bCs/>
          <w:color w:val="021342"/>
          <w:sz w:val="24"/>
          <w:szCs w:val="24"/>
        </w:rPr>
        <w:t xml:space="preserve"> Ιουλίου 202</w:t>
      </w:r>
      <w:r w:rsidR="00A10E92" w:rsidRPr="00226AC7">
        <w:rPr>
          <w:rFonts w:ascii="Eurobank Sans" w:hAnsi="Eurobank Sans"/>
          <w:bCs/>
          <w:color w:val="021342"/>
          <w:sz w:val="24"/>
          <w:szCs w:val="24"/>
        </w:rPr>
        <w:t>3</w:t>
      </w:r>
    </w:p>
    <w:p w14:paraId="22704A7E" w14:textId="77777777" w:rsidR="00C0609F" w:rsidRPr="00C0609F" w:rsidRDefault="00C0609F" w:rsidP="00D75B13">
      <w:pPr>
        <w:tabs>
          <w:tab w:val="left" w:pos="-142"/>
        </w:tabs>
        <w:ind w:left="-567" w:right="-567"/>
        <w:jc w:val="both"/>
        <w:rPr>
          <w:rFonts w:ascii="Eurobank Sans" w:hAnsi="Eurobank Sans"/>
          <w:bCs/>
          <w:color w:val="021342"/>
          <w:sz w:val="24"/>
          <w:szCs w:val="24"/>
        </w:rPr>
      </w:pPr>
    </w:p>
    <w:p w14:paraId="48E680C4" w14:textId="00AC9988" w:rsidR="00C0609F" w:rsidRDefault="00C0609F" w:rsidP="00D75B13">
      <w:pPr>
        <w:tabs>
          <w:tab w:val="left" w:pos="-142"/>
        </w:tabs>
        <w:ind w:left="-567" w:right="-567"/>
        <w:jc w:val="both"/>
        <w:rPr>
          <w:rFonts w:ascii="Eurobank Sans" w:hAnsi="Eurobank Sans"/>
          <w:bCs/>
          <w:color w:val="021342"/>
          <w:sz w:val="24"/>
          <w:szCs w:val="24"/>
        </w:rPr>
      </w:pPr>
      <w:r w:rsidRPr="00C0609F">
        <w:rPr>
          <w:rFonts w:ascii="Eurobank Sans" w:hAnsi="Eurobank Sans"/>
          <w:bCs/>
          <w:color w:val="021342"/>
          <w:sz w:val="24"/>
          <w:szCs w:val="24"/>
        </w:rPr>
        <w:t xml:space="preserve">Η Διεύθυνση Οικονομικής Ανάλυσης και Έρευνας Διεθνών Κεφαλαιαγορών της Eurobank εξέδωσε </w:t>
      </w:r>
      <w:r w:rsidR="00226AC7">
        <w:rPr>
          <w:rFonts w:ascii="Eurobank Sans" w:hAnsi="Eurobank Sans"/>
          <w:bCs/>
          <w:color w:val="021342"/>
          <w:sz w:val="24"/>
          <w:szCs w:val="24"/>
        </w:rPr>
        <w:t>Σημείωμα</w:t>
      </w:r>
      <w:r w:rsidRPr="00C0609F">
        <w:rPr>
          <w:rFonts w:ascii="Eurobank Sans" w:hAnsi="Eurobank Sans"/>
          <w:bCs/>
          <w:color w:val="021342"/>
          <w:sz w:val="24"/>
          <w:szCs w:val="24"/>
        </w:rPr>
        <w:t xml:space="preserve"> με τίτλο «</w:t>
      </w:r>
      <w:r w:rsidR="00226AC7" w:rsidRPr="00226AC7">
        <w:rPr>
          <w:rFonts w:ascii="Eurobank Sans" w:hAnsi="Eurobank Sans"/>
          <w:b/>
          <w:color w:val="021342"/>
          <w:sz w:val="24"/>
          <w:szCs w:val="24"/>
        </w:rPr>
        <w:t>Εκτιμήσεις του μεγέθους της παραοικονομίας στην Ελλάδα και προτάσεις πολιτικής</w:t>
      </w:r>
      <w:r w:rsidRPr="00C0609F">
        <w:rPr>
          <w:rFonts w:ascii="Eurobank Sans" w:hAnsi="Eurobank Sans"/>
          <w:bCs/>
          <w:color w:val="021342"/>
          <w:sz w:val="24"/>
          <w:szCs w:val="24"/>
        </w:rPr>
        <w:t xml:space="preserve">». Συγγραφείς της μελέτης είναι οι </w:t>
      </w:r>
      <w:r w:rsidR="00226AC7">
        <w:rPr>
          <w:rFonts w:ascii="Eurobank Sans" w:hAnsi="Eurobank Sans"/>
          <w:bCs/>
          <w:color w:val="021342"/>
          <w:sz w:val="24"/>
          <w:szCs w:val="24"/>
        </w:rPr>
        <w:t xml:space="preserve">Τάσος </w:t>
      </w:r>
      <w:proofErr w:type="spellStart"/>
      <w:r w:rsidR="00226AC7">
        <w:rPr>
          <w:rFonts w:ascii="Eurobank Sans" w:hAnsi="Eurobank Sans"/>
          <w:bCs/>
          <w:color w:val="021342"/>
          <w:sz w:val="24"/>
          <w:szCs w:val="24"/>
        </w:rPr>
        <w:t>Αναστασάτος</w:t>
      </w:r>
      <w:proofErr w:type="spellEnd"/>
      <w:r w:rsidR="00226AC7">
        <w:rPr>
          <w:rFonts w:ascii="Eurobank Sans" w:hAnsi="Eurobank Sans"/>
          <w:bCs/>
          <w:color w:val="021342"/>
          <w:sz w:val="24"/>
          <w:szCs w:val="24"/>
        </w:rPr>
        <w:t xml:space="preserve">, </w:t>
      </w:r>
      <w:r w:rsidR="00FB56B6" w:rsidRPr="00C0609F">
        <w:rPr>
          <w:rFonts w:ascii="Eurobank Sans" w:hAnsi="Eurobank Sans"/>
          <w:bCs/>
          <w:color w:val="021342"/>
          <w:sz w:val="24"/>
          <w:szCs w:val="24"/>
        </w:rPr>
        <w:t>Μιχ</w:t>
      </w:r>
      <w:r w:rsidR="00F67E48">
        <w:rPr>
          <w:rFonts w:ascii="Eurobank Sans" w:hAnsi="Eurobank Sans"/>
          <w:bCs/>
          <w:color w:val="021342"/>
          <w:sz w:val="24"/>
          <w:szCs w:val="24"/>
        </w:rPr>
        <w:t>αήλ</w:t>
      </w:r>
      <w:r w:rsidR="00FB56B6" w:rsidRPr="00C0609F">
        <w:rPr>
          <w:rFonts w:ascii="Eurobank Sans" w:hAnsi="Eurobank Sans"/>
          <w:bCs/>
          <w:color w:val="021342"/>
          <w:sz w:val="24"/>
          <w:szCs w:val="24"/>
        </w:rPr>
        <w:t xml:space="preserve"> Βασιλειάδης</w:t>
      </w:r>
      <w:r w:rsidR="00FB56B6">
        <w:rPr>
          <w:rFonts w:ascii="Eurobank Sans" w:hAnsi="Eurobank Sans"/>
          <w:bCs/>
          <w:color w:val="021342"/>
          <w:sz w:val="24"/>
          <w:szCs w:val="24"/>
        </w:rPr>
        <w:t xml:space="preserve">, Στυλιανός Γώγος, Θεόδωρος </w:t>
      </w:r>
      <w:proofErr w:type="spellStart"/>
      <w:r w:rsidR="00FB56B6">
        <w:rPr>
          <w:rFonts w:ascii="Eurobank Sans" w:hAnsi="Eurobank Sans"/>
          <w:bCs/>
          <w:color w:val="021342"/>
          <w:sz w:val="24"/>
          <w:szCs w:val="24"/>
        </w:rPr>
        <w:t>Ράπανος</w:t>
      </w:r>
      <w:proofErr w:type="spellEnd"/>
      <w:r w:rsidR="00FB56B6">
        <w:rPr>
          <w:rFonts w:ascii="Eurobank Sans" w:hAnsi="Eurobank Sans"/>
          <w:bCs/>
          <w:color w:val="021342"/>
          <w:sz w:val="24"/>
          <w:szCs w:val="24"/>
        </w:rPr>
        <w:t xml:space="preserve"> και </w:t>
      </w:r>
      <w:r w:rsidR="00226AC7">
        <w:rPr>
          <w:rFonts w:ascii="Eurobank Sans" w:hAnsi="Eurobank Sans"/>
          <w:bCs/>
          <w:color w:val="021342"/>
          <w:sz w:val="24"/>
          <w:szCs w:val="24"/>
        </w:rPr>
        <w:t>Θεόδωρος Σταματίου</w:t>
      </w:r>
      <w:r w:rsidRPr="00C0609F">
        <w:rPr>
          <w:rFonts w:ascii="Eurobank Sans" w:hAnsi="Eurobank Sans"/>
          <w:bCs/>
          <w:color w:val="021342"/>
          <w:sz w:val="24"/>
          <w:szCs w:val="24"/>
        </w:rPr>
        <w:t>.</w:t>
      </w:r>
    </w:p>
    <w:p w14:paraId="54123512" w14:textId="77777777" w:rsidR="00CB5D2D" w:rsidRPr="00552707" w:rsidRDefault="00CB5D2D" w:rsidP="00D75B13">
      <w:pPr>
        <w:tabs>
          <w:tab w:val="left" w:pos="-142"/>
        </w:tabs>
        <w:ind w:left="-567" w:right="-567"/>
        <w:jc w:val="both"/>
        <w:rPr>
          <w:rFonts w:ascii="Eurobank Sans" w:hAnsi="Eurobank Sans"/>
          <w:b/>
          <w:color w:val="021342"/>
          <w:sz w:val="24"/>
          <w:szCs w:val="24"/>
        </w:rPr>
      </w:pPr>
    </w:p>
    <w:p w14:paraId="6735A6BA" w14:textId="2BC5887F" w:rsidR="0032545C" w:rsidRPr="00552707" w:rsidRDefault="00A51D0B" w:rsidP="00D75B13">
      <w:pPr>
        <w:tabs>
          <w:tab w:val="left" w:pos="-142"/>
        </w:tabs>
        <w:ind w:left="-567" w:right="-567"/>
        <w:jc w:val="center"/>
        <w:rPr>
          <w:rFonts w:ascii="Eurobank Sans" w:hAnsi="Eurobank Sans"/>
          <w:b/>
          <w:color w:val="021342"/>
          <w:sz w:val="24"/>
          <w:szCs w:val="24"/>
        </w:rPr>
      </w:pPr>
      <w:r w:rsidRPr="00552707">
        <w:rPr>
          <w:rFonts w:ascii="Eurobank Sans" w:hAnsi="Eurobank Sans"/>
          <w:b/>
          <w:color w:val="021342"/>
          <w:sz w:val="24"/>
          <w:szCs w:val="24"/>
        </w:rPr>
        <w:t>Περίληψη Μελέτης</w:t>
      </w:r>
    </w:p>
    <w:p w14:paraId="47E9FAA9" w14:textId="60E27276" w:rsidR="00A10E92" w:rsidRPr="00A10E92" w:rsidRDefault="00A10E92" w:rsidP="00A10E92">
      <w:pPr>
        <w:tabs>
          <w:tab w:val="left" w:pos="-142"/>
        </w:tabs>
        <w:ind w:left="-567" w:right="-567"/>
        <w:jc w:val="both"/>
        <w:rPr>
          <w:rFonts w:ascii="Eurobank Sans" w:hAnsi="Eurobank Sans"/>
          <w:bCs/>
          <w:color w:val="021342"/>
          <w:sz w:val="24"/>
          <w:szCs w:val="24"/>
        </w:rPr>
      </w:pPr>
      <w:r w:rsidRPr="00A10E92">
        <w:rPr>
          <w:rFonts w:ascii="Eurobank Sans" w:hAnsi="Eurobank Sans"/>
          <w:bCs/>
          <w:color w:val="021342"/>
          <w:sz w:val="24"/>
          <w:szCs w:val="24"/>
        </w:rPr>
        <w:t>Το Σημείωμα αυτό παρουσιάζει εκτιμήσεις για το μέγεθος της παραοικονομίας στην Ελλάδα και συνοψίζει</w:t>
      </w:r>
      <w:r w:rsidR="00734322">
        <w:rPr>
          <w:rFonts w:ascii="Eurobank Sans" w:hAnsi="Eurobank Sans"/>
          <w:bCs/>
          <w:color w:val="021342"/>
          <w:sz w:val="24"/>
          <w:szCs w:val="24"/>
        </w:rPr>
        <w:t xml:space="preserve"> ορισμένες </w:t>
      </w:r>
      <w:r w:rsidRPr="00A10E92">
        <w:rPr>
          <w:rFonts w:ascii="Eurobank Sans" w:hAnsi="Eurobank Sans"/>
          <w:bCs/>
          <w:color w:val="021342"/>
          <w:sz w:val="24"/>
          <w:szCs w:val="24"/>
        </w:rPr>
        <w:t xml:space="preserve"> από τις επιπτώσεις που</w:t>
      </w:r>
      <w:r w:rsidR="00734322">
        <w:rPr>
          <w:rFonts w:ascii="Eurobank Sans" w:hAnsi="Eurobank Sans"/>
          <w:bCs/>
          <w:color w:val="021342"/>
          <w:sz w:val="24"/>
          <w:szCs w:val="24"/>
        </w:rPr>
        <w:t xml:space="preserve"> έχει</w:t>
      </w:r>
      <w:r w:rsidRPr="00A10E92">
        <w:rPr>
          <w:rFonts w:ascii="Eurobank Sans" w:hAnsi="Eurobank Sans"/>
          <w:bCs/>
          <w:color w:val="021342"/>
          <w:sz w:val="24"/>
          <w:szCs w:val="24"/>
        </w:rPr>
        <w:t xml:space="preserve"> η έκτασή της για τα δημόσια οικονομικά αλλά και </w:t>
      </w:r>
      <w:r w:rsidR="00734322">
        <w:rPr>
          <w:rFonts w:ascii="Eurobank Sans" w:hAnsi="Eurobank Sans"/>
          <w:bCs/>
          <w:color w:val="021342"/>
          <w:sz w:val="24"/>
          <w:szCs w:val="24"/>
        </w:rPr>
        <w:t xml:space="preserve"> σ</w:t>
      </w:r>
      <w:r w:rsidRPr="00A10E92">
        <w:rPr>
          <w:rFonts w:ascii="Eurobank Sans" w:hAnsi="Eurobank Sans"/>
          <w:bCs/>
          <w:color w:val="021342"/>
          <w:sz w:val="24"/>
          <w:szCs w:val="24"/>
        </w:rPr>
        <w:t>το παραγωγικό μοντέλο της χώρας.</w:t>
      </w:r>
    </w:p>
    <w:p w14:paraId="7641F378" w14:textId="2F9A203B" w:rsidR="00A10E92" w:rsidRPr="00A10E92" w:rsidRDefault="00A10E92" w:rsidP="00A10E92">
      <w:pPr>
        <w:tabs>
          <w:tab w:val="left" w:pos="-142"/>
        </w:tabs>
        <w:ind w:left="-567" w:right="-567"/>
        <w:jc w:val="both"/>
        <w:rPr>
          <w:rFonts w:ascii="Eurobank Sans" w:hAnsi="Eurobank Sans"/>
          <w:bCs/>
          <w:color w:val="021342"/>
          <w:sz w:val="24"/>
          <w:szCs w:val="24"/>
        </w:rPr>
      </w:pPr>
      <w:r w:rsidRPr="00A10E92">
        <w:rPr>
          <w:rFonts w:ascii="Eurobank Sans" w:hAnsi="Eurobank Sans"/>
          <w:bCs/>
          <w:color w:val="021342"/>
          <w:sz w:val="24"/>
          <w:szCs w:val="24"/>
        </w:rPr>
        <w:t xml:space="preserve">Στη βιβλιογραφία έχουν </w:t>
      </w:r>
      <w:r w:rsidR="00734322">
        <w:rPr>
          <w:rFonts w:ascii="Eurobank Sans" w:hAnsi="Eurobank Sans"/>
          <w:bCs/>
          <w:color w:val="021342"/>
          <w:sz w:val="24"/>
          <w:szCs w:val="24"/>
        </w:rPr>
        <w:t>καταγραφεί</w:t>
      </w:r>
      <w:r w:rsidR="00734322" w:rsidRPr="00A10E92">
        <w:rPr>
          <w:rFonts w:ascii="Eurobank Sans" w:hAnsi="Eurobank Sans"/>
          <w:bCs/>
          <w:color w:val="021342"/>
          <w:sz w:val="24"/>
          <w:szCs w:val="24"/>
        </w:rPr>
        <w:t xml:space="preserve"> </w:t>
      </w:r>
      <w:r w:rsidRPr="00A10E92">
        <w:rPr>
          <w:rFonts w:ascii="Eurobank Sans" w:hAnsi="Eurobank Sans"/>
          <w:bCs/>
          <w:color w:val="021342"/>
          <w:sz w:val="24"/>
          <w:szCs w:val="24"/>
        </w:rPr>
        <w:t>στο παρελθόν διάφορες προσπάθειες για την εκτίμηση του μεγέθους της παραοικονομίας ή της φοροδιαφυγής στην Ελλάδα  με τα αποτελέσματα να κινούνται σε ένα εύρος μεταξύ 20%-30% του ΑΕΠ. Αν και η ακριβής μέτρηση της έκτασής της είναι –εκ φύσεως– δύσκολη έως αδύνατη, επιχειρο</w:t>
      </w:r>
      <w:r w:rsidR="002F40A6">
        <w:rPr>
          <w:rFonts w:ascii="Eurobank Sans" w:hAnsi="Eurobank Sans"/>
          <w:bCs/>
          <w:color w:val="021342"/>
          <w:sz w:val="24"/>
          <w:szCs w:val="24"/>
        </w:rPr>
        <w:t>ύ</w:t>
      </w:r>
      <w:r w:rsidRPr="00A10E92">
        <w:rPr>
          <w:rFonts w:ascii="Eurobank Sans" w:hAnsi="Eurobank Sans"/>
          <w:bCs/>
          <w:color w:val="021342"/>
          <w:sz w:val="24"/>
          <w:szCs w:val="24"/>
        </w:rPr>
        <w:t>με μια έμμεση εκτίμηση, παρατηρώντας την αντανάκλασ</w:t>
      </w:r>
      <w:r w:rsidR="00734322">
        <w:rPr>
          <w:rFonts w:ascii="Eurobank Sans" w:hAnsi="Eurobank Sans"/>
          <w:bCs/>
          <w:color w:val="021342"/>
          <w:sz w:val="24"/>
          <w:szCs w:val="24"/>
        </w:rPr>
        <w:t>η</w:t>
      </w:r>
      <w:r w:rsidRPr="00A10E92">
        <w:rPr>
          <w:rFonts w:ascii="Eurobank Sans" w:hAnsi="Eurobank Sans"/>
          <w:bCs/>
          <w:color w:val="021342"/>
          <w:sz w:val="24"/>
          <w:szCs w:val="24"/>
        </w:rPr>
        <w:t xml:space="preserve"> της </w:t>
      </w:r>
      <w:r w:rsidR="00734322">
        <w:rPr>
          <w:rFonts w:ascii="Eurobank Sans" w:hAnsi="Eurobank Sans"/>
          <w:bCs/>
          <w:color w:val="021342"/>
          <w:sz w:val="24"/>
          <w:szCs w:val="24"/>
        </w:rPr>
        <w:t xml:space="preserve">φοροδιαφυγής </w:t>
      </w:r>
      <w:r w:rsidRPr="00A10E92">
        <w:rPr>
          <w:rFonts w:ascii="Eurobank Sans" w:hAnsi="Eurobank Sans"/>
          <w:bCs/>
          <w:color w:val="021342"/>
          <w:sz w:val="24"/>
          <w:szCs w:val="24"/>
        </w:rPr>
        <w:t xml:space="preserve">σε άλλα οικονομικά μεγέθη. </w:t>
      </w:r>
    </w:p>
    <w:p w14:paraId="5B2626C6" w14:textId="62D5C22B" w:rsidR="00A10E92" w:rsidRPr="00A10E92" w:rsidRDefault="00A10E92" w:rsidP="00A10E92">
      <w:pPr>
        <w:tabs>
          <w:tab w:val="left" w:pos="-142"/>
        </w:tabs>
        <w:ind w:left="-567" w:right="-567"/>
        <w:jc w:val="both"/>
        <w:rPr>
          <w:rFonts w:ascii="Eurobank Sans" w:hAnsi="Eurobank Sans"/>
          <w:bCs/>
          <w:color w:val="021342"/>
          <w:sz w:val="24"/>
          <w:szCs w:val="24"/>
        </w:rPr>
      </w:pPr>
      <w:r w:rsidRPr="00A10E92">
        <w:rPr>
          <w:rFonts w:ascii="Eurobank Sans" w:hAnsi="Eurobank Sans"/>
          <w:bCs/>
          <w:color w:val="021342"/>
          <w:sz w:val="24"/>
          <w:szCs w:val="24"/>
        </w:rPr>
        <w:t>Κατά πρώτον, όπως αναφέρθηκε και από τον Διοικητή της Τ</w:t>
      </w:r>
      <w:r w:rsidR="00734322">
        <w:rPr>
          <w:rFonts w:ascii="Eurobank Sans" w:hAnsi="Eurobank Sans"/>
          <w:bCs/>
          <w:color w:val="021342"/>
          <w:sz w:val="24"/>
          <w:szCs w:val="24"/>
        </w:rPr>
        <w:t xml:space="preserve">ράπεζας της </w:t>
      </w:r>
      <w:r w:rsidRPr="00A10E92">
        <w:rPr>
          <w:rFonts w:ascii="Eurobank Sans" w:hAnsi="Eurobank Sans"/>
          <w:bCs/>
          <w:color w:val="021342"/>
          <w:sz w:val="24"/>
          <w:szCs w:val="24"/>
        </w:rPr>
        <w:t>Ε</w:t>
      </w:r>
      <w:r w:rsidR="00734322">
        <w:rPr>
          <w:rFonts w:ascii="Eurobank Sans" w:hAnsi="Eurobank Sans"/>
          <w:bCs/>
          <w:color w:val="021342"/>
          <w:sz w:val="24"/>
          <w:szCs w:val="24"/>
        </w:rPr>
        <w:t>λλάδος</w:t>
      </w:r>
      <w:r w:rsidRPr="00A10E92">
        <w:rPr>
          <w:rFonts w:ascii="Eurobank Sans" w:hAnsi="Eurobank Sans"/>
          <w:bCs/>
          <w:color w:val="021342"/>
          <w:sz w:val="24"/>
          <w:szCs w:val="24"/>
        </w:rPr>
        <w:t xml:space="preserve">, </w:t>
      </w:r>
      <w:r w:rsidRPr="009C33D7">
        <w:rPr>
          <w:rFonts w:ascii="Eurobank Sans" w:hAnsi="Eurobank Sans"/>
          <w:b/>
          <w:color w:val="021342"/>
          <w:sz w:val="24"/>
          <w:szCs w:val="24"/>
        </w:rPr>
        <w:t>το συνολικό εισόδημα που δηλώνουν τα νοικοκυριά στις φορολογικές τους δηλώσεις υπολείπεται σημαντικά της κατανάλωσής τους</w:t>
      </w:r>
      <w:r w:rsidRPr="00A10E92">
        <w:rPr>
          <w:rFonts w:ascii="Eurobank Sans" w:hAnsi="Eurobank Sans"/>
          <w:bCs/>
          <w:color w:val="021342"/>
          <w:sz w:val="24"/>
          <w:szCs w:val="24"/>
        </w:rPr>
        <w:t xml:space="preserve"> βάσει των στοιχείων των εθνικών λογαριασμών της ΕΛΣΤΑΤ</w:t>
      </w:r>
      <w:r w:rsidR="00734322">
        <w:rPr>
          <w:rFonts w:ascii="Eurobank Sans" w:hAnsi="Eurobank Sans"/>
          <w:bCs/>
          <w:color w:val="021342"/>
          <w:sz w:val="24"/>
          <w:szCs w:val="24"/>
        </w:rPr>
        <w:t>.</w:t>
      </w:r>
      <w:r w:rsidR="00083641" w:rsidRPr="009C33D7">
        <w:rPr>
          <w:rFonts w:ascii="Eurobank Sans" w:hAnsi="Eurobank Sans"/>
          <w:bCs/>
          <w:color w:val="021342"/>
          <w:sz w:val="24"/>
          <w:szCs w:val="24"/>
        </w:rPr>
        <w:t xml:space="preserve"> </w:t>
      </w:r>
      <w:r w:rsidR="00734322">
        <w:rPr>
          <w:rFonts w:ascii="Eurobank Sans" w:hAnsi="Eurobank Sans"/>
          <w:bCs/>
          <w:color w:val="021342"/>
          <w:sz w:val="24"/>
          <w:szCs w:val="24"/>
        </w:rPr>
        <w:t xml:space="preserve">Η </w:t>
      </w:r>
      <w:r w:rsidRPr="00A10E92">
        <w:rPr>
          <w:rFonts w:ascii="Eurobank Sans" w:hAnsi="Eurobank Sans"/>
          <w:bCs/>
          <w:color w:val="021342"/>
          <w:sz w:val="24"/>
          <w:szCs w:val="24"/>
        </w:rPr>
        <w:t xml:space="preserve">απόκλιση για το 2021 </w:t>
      </w:r>
      <w:r w:rsidR="00734322">
        <w:rPr>
          <w:rFonts w:ascii="Eurobank Sans" w:hAnsi="Eurobank Sans"/>
          <w:bCs/>
          <w:color w:val="021342"/>
          <w:sz w:val="24"/>
          <w:szCs w:val="24"/>
        </w:rPr>
        <w:t xml:space="preserve"> προσεγγίζει</w:t>
      </w:r>
      <w:r w:rsidRPr="00A10E92">
        <w:rPr>
          <w:rFonts w:ascii="Eurobank Sans" w:hAnsi="Eurobank Sans"/>
          <w:bCs/>
          <w:color w:val="021342"/>
          <w:sz w:val="24"/>
          <w:szCs w:val="24"/>
        </w:rPr>
        <w:t xml:space="preserve"> τα </w:t>
      </w:r>
      <w:r w:rsidRPr="009C33D7">
        <w:rPr>
          <w:rFonts w:ascii="Eurobank Sans" w:hAnsi="Eurobank Sans"/>
          <w:b/>
          <w:color w:val="021342"/>
          <w:sz w:val="24"/>
          <w:szCs w:val="24"/>
        </w:rPr>
        <w:t>€50δι</w:t>
      </w:r>
      <w:r w:rsidR="00822ABB">
        <w:rPr>
          <w:rFonts w:ascii="Eurobank Sans" w:hAnsi="Eurobank Sans"/>
          <w:b/>
          <w:color w:val="021342"/>
          <w:sz w:val="24"/>
          <w:szCs w:val="24"/>
        </w:rPr>
        <w:t>ς</w:t>
      </w:r>
      <w:r w:rsidRPr="00A10E92">
        <w:rPr>
          <w:rFonts w:ascii="Eurobank Sans" w:hAnsi="Eurobank Sans"/>
          <w:bCs/>
          <w:color w:val="021342"/>
          <w:sz w:val="24"/>
          <w:szCs w:val="24"/>
        </w:rPr>
        <w:t xml:space="preserve"> </w:t>
      </w:r>
      <w:r w:rsidR="00734322">
        <w:rPr>
          <w:rFonts w:ascii="Eurobank Sans" w:hAnsi="Eurobank Sans"/>
          <w:bCs/>
          <w:color w:val="021342"/>
          <w:sz w:val="24"/>
          <w:szCs w:val="24"/>
        </w:rPr>
        <w:t>ποσό που</w:t>
      </w:r>
      <w:r w:rsidR="00734322" w:rsidRPr="00A10E92">
        <w:rPr>
          <w:rFonts w:ascii="Eurobank Sans" w:hAnsi="Eurobank Sans"/>
          <w:bCs/>
          <w:color w:val="021342"/>
          <w:sz w:val="24"/>
          <w:szCs w:val="24"/>
        </w:rPr>
        <w:t xml:space="preserve"> </w:t>
      </w:r>
      <w:r w:rsidRPr="00A10E92">
        <w:rPr>
          <w:rFonts w:ascii="Eurobank Sans" w:hAnsi="Eurobank Sans"/>
          <w:bCs/>
          <w:color w:val="021342"/>
          <w:sz w:val="24"/>
          <w:szCs w:val="24"/>
        </w:rPr>
        <w:t xml:space="preserve">πιθανώς </w:t>
      </w:r>
      <w:r w:rsidR="00734322">
        <w:rPr>
          <w:rFonts w:ascii="Eurobank Sans" w:hAnsi="Eurobank Sans"/>
          <w:bCs/>
          <w:color w:val="021342"/>
          <w:sz w:val="24"/>
          <w:szCs w:val="24"/>
        </w:rPr>
        <w:t>να είναι υψηλότερο</w:t>
      </w:r>
      <w:r w:rsidR="00734322" w:rsidRPr="00A10E92">
        <w:rPr>
          <w:rFonts w:ascii="Eurobank Sans" w:hAnsi="Eurobank Sans"/>
          <w:bCs/>
          <w:color w:val="021342"/>
          <w:sz w:val="24"/>
          <w:szCs w:val="24"/>
        </w:rPr>
        <w:t xml:space="preserve"> </w:t>
      </w:r>
      <w:r w:rsidRPr="00A10E92">
        <w:rPr>
          <w:rFonts w:ascii="Eurobank Sans" w:hAnsi="Eurobank Sans"/>
          <w:bCs/>
          <w:color w:val="021342"/>
          <w:sz w:val="24"/>
          <w:szCs w:val="24"/>
        </w:rPr>
        <w:t xml:space="preserve">το 2022. Από αυτά τα μεγέθη πρέπει να αφαιρεθούν τα τεκμαρτά ενοίκια, τα οποία η ΕΛΣΤΑΤ συνυπολογίζει στην κατανάλωση, και η δημιουργία νέων ληξιπρόθεσμων οφειλών προς το Δημόσιο, η οποία επίσης τονώνει την κατανάλωση ενώ είναι καταγεγραμμένη </w:t>
      </w:r>
      <w:r w:rsidR="00734322">
        <w:rPr>
          <w:rFonts w:ascii="Eurobank Sans" w:hAnsi="Eurobank Sans"/>
          <w:bCs/>
          <w:color w:val="021342"/>
          <w:sz w:val="24"/>
          <w:szCs w:val="24"/>
        </w:rPr>
        <w:t xml:space="preserve">φορολογική </w:t>
      </w:r>
      <w:r w:rsidRPr="00A10E92">
        <w:rPr>
          <w:rFonts w:ascii="Eurobank Sans" w:hAnsi="Eurobank Sans"/>
          <w:bCs/>
          <w:color w:val="021342"/>
          <w:sz w:val="24"/>
          <w:szCs w:val="24"/>
        </w:rPr>
        <w:t xml:space="preserve">υποχρέωση. </w:t>
      </w:r>
      <w:r w:rsidRPr="009C33D7">
        <w:rPr>
          <w:rFonts w:ascii="Eurobank Sans" w:hAnsi="Eurobank Sans"/>
          <w:b/>
          <w:color w:val="021342"/>
          <w:sz w:val="24"/>
          <w:szCs w:val="24"/>
        </w:rPr>
        <w:t>Κατόπιν αυτών, μία αδρή εκτίμηση για το μέγεθος της παραοικονομίας κινείται περί τα €40δι</w:t>
      </w:r>
      <w:r w:rsidR="00822ABB">
        <w:rPr>
          <w:rFonts w:ascii="Eurobank Sans" w:hAnsi="Eurobank Sans"/>
          <w:b/>
          <w:color w:val="021342"/>
          <w:sz w:val="24"/>
          <w:szCs w:val="24"/>
        </w:rPr>
        <w:t>ς</w:t>
      </w:r>
      <w:r w:rsidRPr="009C33D7">
        <w:rPr>
          <w:rFonts w:ascii="Eurobank Sans" w:hAnsi="Eurobank Sans"/>
          <w:b/>
          <w:color w:val="021342"/>
          <w:sz w:val="24"/>
          <w:szCs w:val="24"/>
        </w:rPr>
        <w:t xml:space="preserve"> ετησίως</w:t>
      </w:r>
      <w:r w:rsidRPr="00A10E92">
        <w:rPr>
          <w:rFonts w:ascii="Eurobank Sans" w:hAnsi="Eurobank Sans"/>
          <w:bCs/>
          <w:color w:val="021342"/>
          <w:sz w:val="24"/>
          <w:szCs w:val="24"/>
        </w:rPr>
        <w:t xml:space="preserve">. </w:t>
      </w:r>
      <w:r w:rsidR="00083641">
        <w:rPr>
          <w:rFonts w:ascii="Eurobank Sans" w:hAnsi="Eurobank Sans"/>
          <w:bCs/>
          <w:color w:val="021342"/>
          <w:sz w:val="24"/>
          <w:szCs w:val="24"/>
        </w:rPr>
        <w:t>Κατά το παρελθόν, έχουν προσφερθεί κ</w:t>
      </w:r>
      <w:r w:rsidR="00734322">
        <w:rPr>
          <w:rFonts w:ascii="Eurobank Sans" w:hAnsi="Eurobank Sans"/>
          <w:bCs/>
          <w:color w:val="021342"/>
          <w:sz w:val="24"/>
          <w:szCs w:val="24"/>
        </w:rPr>
        <w:t>άποιες ε</w:t>
      </w:r>
      <w:r w:rsidRPr="00A10E92">
        <w:rPr>
          <w:rFonts w:ascii="Eurobank Sans" w:hAnsi="Eurobank Sans"/>
          <w:bCs/>
          <w:color w:val="021342"/>
          <w:sz w:val="24"/>
          <w:szCs w:val="24"/>
        </w:rPr>
        <w:t xml:space="preserve">ρμηνείες για να εξηγηθεί αυτή η διαφορά </w:t>
      </w:r>
      <w:r w:rsidR="00734322">
        <w:rPr>
          <w:rFonts w:ascii="Eurobank Sans" w:hAnsi="Eurobank Sans"/>
          <w:bCs/>
          <w:color w:val="021342"/>
          <w:sz w:val="24"/>
          <w:szCs w:val="24"/>
        </w:rPr>
        <w:t xml:space="preserve">μεταξύ </w:t>
      </w:r>
      <w:r w:rsidRPr="00A10E92">
        <w:rPr>
          <w:rFonts w:ascii="Eurobank Sans" w:hAnsi="Eurobank Sans"/>
          <w:bCs/>
          <w:color w:val="021342"/>
          <w:sz w:val="24"/>
          <w:szCs w:val="24"/>
        </w:rPr>
        <w:t>κατανάλωσης και δηλο</w:t>
      </w:r>
      <w:r w:rsidR="00734322">
        <w:rPr>
          <w:rFonts w:ascii="Eurobank Sans" w:hAnsi="Eurobank Sans"/>
          <w:bCs/>
          <w:color w:val="021342"/>
          <w:sz w:val="24"/>
          <w:szCs w:val="24"/>
        </w:rPr>
        <w:t>ύ</w:t>
      </w:r>
      <w:r w:rsidRPr="00A10E92">
        <w:rPr>
          <w:rFonts w:ascii="Eurobank Sans" w:hAnsi="Eurobank Sans"/>
          <w:bCs/>
          <w:color w:val="021342"/>
          <w:sz w:val="24"/>
          <w:szCs w:val="24"/>
        </w:rPr>
        <w:t>μενων εισοδημάτων</w:t>
      </w:r>
      <w:r w:rsidR="00734322">
        <w:rPr>
          <w:rFonts w:ascii="Eurobank Sans" w:hAnsi="Eurobank Sans"/>
          <w:bCs/>
          <w:color w:val="021342"/>
          <w:sz w:val="24"/>
          <w:szCs w:val="24"/>
        </w:rPr>
        <w:t xml:space="preserve">, οι οποίες όμως </w:t>
      </w:r>
      <w:r w:rsidRPr="00A10E92">
        <w:rPr>
          <w:rFonts w:ascii="Eurobank Sans" w:hAnsi="Eurobank Sans"/>
          <w:bCs/>
          <w:color w:val="021342"/>
          <w:sz w:val="24"/>
          <w:szCs w:val="24"/>
        </w:rPr>
        <w:t>δεν ισχύουν</w:t>
      </w:r>
      <w:r w:rsidR="00734322">
        <w:rPr>
          <w:rFonts w:ascii="Eurobank Sans" w:hAnsi="Eurobank Sans"/>
          <w:bCs/>
          <w:color w:val="021342"/>
          <w:sz w:val="24"/>
          <w:szCs w:val="24"/>
        </w:rPr>
        <w:t>.</w:t>
      </w:r>
      <w:r w:rsidRPr="00A10E92">
        <w:rPr>
          <w:rFonts w:ascii="Eurobank Sans" w:hAnsi="Eurobank Sans"/>
          <w:bCs/>
          <w:color w:val="021342"/>
          <w:sz w:val="24"/>
          <w:szCs w:val="24"/>
        </w:rPr>
        <w:t xml:space="preserve"> </w:t>
      </w:r>
      <w:r w:rsidR="00734322">
        <w:rPr>
          <w:rFonts w:ascii="Eurobank Sans" w:hAnsi="Eurobank Sans"/>
          <w:bCs/>
          <w:color w:val="021342"/>
          <w:sz w:val="24"/>
          <w:szCs w:val="24"/>
        </w:rPr>
        <w:t xml:space="preserve">Μεταξύ αυτών </w:t>
      </w:r>
      <w:r w:rsidR="00734322" w:rsidRPr="00A10E92">
        <w:rPr>
          <w:rFonts w:ascii="Eurobank Sans" w:hAnsi="Eurobank Sans"/>
          <w:bCs/>
          <w:color w:val="021342"/>
          <w:sz w:val="24"/>
          <w:szCs w:val="24"/>
        </w:rPr>
        <w:t>περιλαμβάνο</w:t>
      </w:r>
      <w:r w:rsidR="00734322">
        <w:rPr>
          <w:rFonts w:ascii="Eurobank Sans" w:hAnsi="Eurobank Sans"/>
          <w:bCs/>
          <w:color w:val="021342"/>
          <w:sz w:val="24"/>
          <w:szCs w:val="24"/>
        </w:rPr>
        <w:t>νται</w:t>
      </w:r>
      <w:r w:rsidR="00734322" w:rsidRPr="00A10E92">
        <w:rPr>
          <w:rFonts w:ascii="Eurobank Sans" w:hAnsi="Eurobank Sans"/>
          <w:bCs/>
          <w:color w:val="021342"/>
          <w:sz w:val="24"/>
          <w:szCs w:val="24"/>
        </w:rPr>
        <w:t xml:space="preserve"> </w:t>
      </w:r>
      <w:r w:rsidR="00734322">
        <w:rPr>
          <w:rFonts w:ascii="Eurobank Sans" w:hAnsi="Eurobank Sans"/>
          <w:bCs/>
          <w:color w:val="021342"/>
          <w:sz w:val="24"/>
          <w:szCs w:val="24"/>
        </w:rPr>
        <w:t>οι εικασίες</w:t>
      </w:r>
      <w:r w:rsidRPr="00A10E92">
        <w:rPr>
          <w:rFonts w:ascii="Eurobank Sans" w:hAnsi="Eurobank Sans"/>
          <w:bCs/>
          <w:color w:val="021342"/>
          <w:sz w:val="24"/>
          <w:szCs w:val="24"/>
        </w:rPr>
        <w:t xml:space="preserve"> ότι η κατανάλωση είναι μεγαλύτερη λόγω τουριστών</w:t>
      </w:r>
      <w:r w:rsidR="00734322">
        <w:rPr>
          <w:rFonts w:ascii="Eurobank Sans" w:hAnsi="Eurobank Sans"/>
          <w:bCs/>
          <w:color w:val="021342"/>
          <w:sz w:val="24"/>
          <w:szCs w:val="24"/>
        </w:rPr>
        <w:t>, ενώ</w:t>
      </w:r>
      <w:r w:rsidRPr="00A10E92">
        <w:rPr>
          <w:rFonts w:ascii="Eurobank Sans" w:hAnsi="Eurobank Sans"/>
          <w:bCs/>
          <w:color w:val="021342"/>
          <w:sz w:val="24"/>
          <w:szCs w:val="24"/>
        </w:rPr>
        <w:t xml:space="preserve"> η κατανάλωση των τουριστών καταγράφεται στις εξαγωγές</w:t>
      </w:r>
      <w:r w:rsidR="00734322">
        <w:rPr>
          <w:rFonts w:ascii="Eurobank Sans" w:hAnsi="Eurobank Sans"/>
          <w:bCs/>
          <w:color w:val="021342"/>
          <w:sz w:val="24"/>
          <w:szCs w:val="24"/>
        </w:rPr>
        <w:t xml:space="preserve">, καθώς </w:t>
      </w:r>
      <w:r w:rsidRPr="00A10E92">
        <w:rPr>
          <w:rFonts w:ascii="Eurobank Sans" w:hAnsi="Eurobank Sans"/>
          <w:bCs/>
          <w:color w:val="021342"/>
          <w:sz w:val="24"/>
          <w:szCs w:val="24"/>
        </w:rPr>
        <w:t xml:space="preserve"> και ότι η κατανάλωση τροφοδοτείται από μετρητά εκτός τραπεζικού συστήματος</w:t>
      </w:r>
      <w:r w:rsidR="00734322">
        <w:rPr>
          <w:rFonts w:ascii="Eurobank Sans" w:hAnsi="Eurobank Sans"/>
          <w:bCs/>
          <w:color w:val="021342"/>
          <w:sz w:val="24"/>
          <w:szCs w:val="24"/>
        </w:rPr>
        <w:t>, ενώ</w:t>
      </w:r>
      <w:r w:rsidR="00083641">
        <w:rPr>
          <w:rFonts w:ascii="Eurobank Sans" w:hAnsi="Eurobank Sans"/>
          <w:bCs/>
          <w:color w:val="021342"/>
          <w:sz w:val="24"/>
          <w:szCs w:val="24"/>
        </w:rPr>
        <w:t xml:space="preserve"> </w:t>
      </w:r>
      <w:r w:rsidRPr="00A10E92">
        <w:rPr>
          <w:rFonts w:ascii="Eurobank Sans" w:hAnsi="Eurobank Sans"/>
          <w:bCs/>
          <w:color w:val="021342"/>
          <w:sz w:val="24"/>
          <w:szCs w:val="24"/>
        </w:rPr>
        <w:t xml:space="preserve">τα μετρητά σε κυκλοφορία είναι σε χαμηλά επίπεδα σε σχέση με προηγούμενα χρόνια. </w:t>
      </w:r>
    </w:p>
    <w:p w14:paraId="61AA4E39" w14:textId="740D3796" w:rsidR="00A10E92" w:rsidRPr="00A10E92" w:rsidRDefault="00A10E92" w:rsidP="00A10E92">
      <w:pPr>
        <w:tabs>
          <w:tab w:val="left" w:pos="-142"/>
        </w:tabs>
        <w:ind w:left="-567" w:right="-567"/>
        <w:jc w:val="both"/>
        <w:rPr>
          <w:rFonts w:ascii="Eurobank Sans" w:hAnsi="Eurobank Sans"/>
          <w:bCs/>
          <w:color w:val="021342"/>
          <w:sz w:val="24"/>
          <w:szCs w:val="24"/>
        </w:rPr>
      </w:pPr>
      <w:r w:rsidRPr="00A10E92">
        <w:rPr>
          <w:rFonts w:ascii="Eurobank Sans" w:hAnsi="Eurobank Sans"/>
          <w:bCs/>
          <w:color w:val="021342"/>
          <w:sz w:val="24"/>
          <w:szCs w:val="24"/>
        </w:rPr>
        <w:t xml:space="preserve">Μία άλλη ένδειξη για το μέγεθος της παραοικονομίας παρέχεται από τα στοιχεία της αγοράς εργασίας, καθώς προκύπτει σημαντική διαφορά της τάξης του 17% μεταξύ του ύψους της απασχόλησης όπως αποτυπώνεται στην έρευνα εργατικού δυναμικού της ΕΛΣΤΑΤ και της απασχόλησης που θα ήταν συνεπής με τα στοιχεία για το ΑΕΠ. Επιπλέον, ενδεικτικό είναι το γεγονός ότι </w:t>
      </w:r>
      <w:r w:rsidRPr="009C33D7">
        <w:rPr>
          <w:rFonts w:ascii="Eurobank Sans" w:hAnsi="Eurobank Sans"/>
          <w:b/>
          <w:color w:val="021342"/>
          <w:sz w:val="24"/>
          <w:szCs w:val="24"/>
        </w:rPr>
        <w:t>δεν υπάρχει μεγάλη συσχέτιση των δηλωθέντων εισοδημάτων με τις διακυμάνσεις της οικονομικής δραστηριότητας</w:t>
      </w:r>
      <w:r w:rsidRPr="00A10E92">
        <w:rPr>
          <w:rFonts w:ascii="Eurobank Sans" w:hAnsi="Eurobank Sans"/>
          <w:bCs/>
          <w:color w:val="021342"/>
          <w:sz w:val="24"/>
          <w:szCs w:val="24"/>
        </w:rPr>
        <w:t xml:space="preserve">. </w:t>
      </w:r>
      <w:r w:rsidRPr="009C33D7">
        <w:rPr>
          <w:rFonts w:ascii="Eurobank Sans" w:hAnsi="Eurobank Sans"/>
          <w:b/>
          <w:color w:val="021342"/>
          <w:sz w:val="24"/>
          <w:szCs w:val="24"/>
        </w:rPr>
        <w:t xml:space="preserve">Για παράδειγμα, το 2020, έτος μεγάλης ύφεσης </w:t>
      </w:r>
      <w:r w:rsidR="002F40A6" w:rsidRPr="009C33D7">
        <w:rPr>
          <w:rFonts w:ascii="Eurobank Sans" w:hAnsi="Eurobank Sans"/>
          <w:b/>
          <w:color w:val="021342"/>
          <w:sz w:val="24"/>
          <w:szCs w:val="24"/>
        </w:rPr>
        <w:t xml:space="preserve">λόγω της πανδημίας </w:t>
      </w:r>
      <w:r w:rsidRPr="009C33D7">
        <w:rPr>
          <w:rFonts w:ascii="Eurobank Sans" w:hAnsi="Eurobank Sans"/>
          <w:b/>
          <w:color w:val="021342"/>
          <w:sz w:val="24"/>
          <w:szCs w:val="24"/>
        </w:rPr>
        <w:t>δηλώθηκαν €1,3δις παραπάνω σε σχέση με το 2019! Το μέγεθος συνεπώς των δηλούμενων εισοδημάτων φαίνεται να ανταν</w:t>
      </w:r>
      <w:r w:rsidR="00083641" w:rsidRPr="009C33D7">
        <w:rPr>
          <w:rFonts w:ascii="Eurobank Sans" w:hAnsi="Eurobank Sans"/>
          <w:b/>
          <w:color w:val="021342"/>
          <w:sz w:val="24"/>
          <w:szCs w:val="24"/>
        </w:rPr>
        <w:t>ακλά απλώς τα</w:t>
      </w:r>
      <w:r w:rsidRPr="009C33D7">
        <w:rPr>
          <w:rFonts w:ascii="Eurobank Sans" w:hAnsi="Eurobank Sans"/>
          <w:b/>
          <w:color w:val="021342"/>
          <w:sz w:val="24"/>
          <w:szCs w:val="24"/>
        </w:rPr>
        <w:t xml:space="preserve"> περιθ</w:t>
      </w:r>
      <w:r w:rsidR="00083641" w:rsidRPr="009C33D7">
        <w:rPr>
          <w:rFonts w:ascii="Eurobank Sans" w:hAnsi="Eurobank Sans"/>
          <w:b/>
          <w:color w:val="021342"/>
          <w:sz w:val="24"/>
          <w:szCs w:val="24"/>
        </w:rPr>
        <w:t>ώρια</w:t>
      </w:r>
      <w:r w:rsidRPr="009C33D7">
        <w:rPr>
          <w:rFonts w:ascii="Eurobank Sans" w:hAnsi="Eurobank Sans"/>
          <w:b/>
          <w:color w:val="021342"/>
          <w:sz w:val="24"/>
          <w:szCs w:val="24"/>
        </w:rPr>
        <w:t xml:space="preserve"> που αφήνει το νομικό καθεστώς για την ελαχιστοποίηση της φορολογικής επιβάρυνσης</w:t>
      </w:r>
      <w:r w:rsidR="00083641" w:rsidRPr="009C33D7">
        <w:rPr>
          <w:rFonts w:ascii="Eurobank Sans" w:hAnsi="Eurobank Sans"/>
          <w:b/>
          <w:color w:val="021342"/>
          <w:sz w:val="24"/>
          <w:szCs w:val="24"/>
        </w:rPr>
        <w:t xml:space="preserve"> και όχι το μέγεθος της οικονομικής δραστηριότητας</w:t>
      </w:r>
      <w:r w:rsidRPr="009C33D7">
        <w:rPr>
          <w:rFonts w:ascii="Eurobank Sans" w:hAnsi="Eurobank Sans"/>
          <w:b/>
          <w:color w:val="021342"/>
          <w:sz w:val="24"/>
          <w:szCs w:val="24"/>
        </w:rPr>
        <w:t>.</w:t>
      </w:r>
      <w:r w:rsidRPr="00A10E92">
        <w:rPr>
          <w:rFonts w:ascii="Eurobank Sans" w:hAnsi="Eurobank Sans"/>
          <w:bCs/>
          <w:color w:val="021342"/>
          <w:sz w:val="24"/>
          <w:szCs w:val="24"/>
        </w:rPr>
        <w:t xml:space="preserve"> </w:t>
      </w:r>
    </w:p>
    <w:p w14:paraId="5D87C7CF" w14:textId="6A22D927" w:rsidR="00A10E92" w:rsidRPr="00A10E92" w:rsidRDefault="00A10E92" w:rsidP="00A10E92">
      <w:pPr>
        <w:tabs>
          <w:tab w:val="left" w:pos="-142"/>
        </w:tabs>
        <w:ind w:left="-567" w:right="-567"/>
        <w:jc w:val="both"/>
        <w:rPr>
          <w:rFonts w:ascii="Eurobank Sans" w:hAnsi="Eurobank Sans"/>
          <w:bCs/>
          <w:color w:val="021342"/>
          <w:sz w:val="24"/>
          <w:szCs w:val="24"/>
        </w:rPr>
      </w:pPr>
      <w:r w:rsidRPr="00A10E92">
        <w:rPr>
          <w:rFonts w:ascii="Eurobank Sans" w:hAnsi="Eurobank Sans"/>
          <w:bCs/>
          <w:color w:val="021342"/>
          <w:sz w:val="24"/>
          <w:szCs w:val="24"/>
        </w:rPr>
        <w:t xml:space="preserve">Υπάρχουν σημαντικοί λόγοι για τους οποίους η συνολική παραοικονομία είναι πιθανότατα μεγαλύτερη από τους παραπάνω υπολογισμούς. </w:t>
      </w:r>
      <w:r w:rsidRPr="009C33D7">
        <w:rPr>
          <w:rFonts w:ascii="Eurobank Sans" w:hAnsi="Eurobank Sans"/>
          <w:b/>
          <w:color w:val="021342"/>
          <w:sz w:val="24"/>
          <w:szCs w:val="24"/>
        </w:rPr>
        <w:t>Πρώτον</w:t>
      </w:r>
      <w:r w:rsidRPr="00A10E92">
        <w:rPr>
          <w:rFonts w:ascii="Eurobank Sans" w:hAnsi="Eurobank Sans"/>
          <w:bCs/>
          <w:color w:val="021342"/>
          <w:sz w:val="24"/>
          <w:szCs w:val="24"/>
        </w:rPr>
        <w:t xml:space="preserve">, </w:t>
      </w:r>
      <w:r w:rsidRPr="009C33D7">
        <w:rPr>
          <w:rFonts w:ascii="Eurobank Sans" w:hAnsi="Eurobank Sans"/>
          <w:b/>
          <w:color w:val="021342"/>
          <w:sz w:val="24"/>
          <w:szCs w:val="24"/>
        </w:rPr>
        <w:t xml:space="preserve">σε αυτούς τους υπολογισμούς δεν περιλαμβάνεται η φοροδιαφυγή και </w:t>
      </w:r>
      <w:proofErr w:type="spellStart"/>
      <w:r w:rsidRPr="009C33D7">
        <w:rPr>
          <w:rFonts w:ascii="Eurobank Sans" w:hAnsi="Eurobank Sans"/>
          <w:b/>
          <w:color w:val="021342"/>
          <w:sz w:val="24"/>
          <w:szCs w:val="24"/>
        </w:rPr>
        <w:t>φοροαποφυγή</w:t>
      </w:r>
      <w:proofErr w:type="spellEnd"/>
      <w:r w:rsidRPr="009C33D7">
        <w:rPr>
          <w:rFonts w:ascii="Eurobank Sans" w:hAnsi="Eurobank Sans"/>
          <w:b/>
          <w:color w:val="021342"/>
          <w:sz w:val="24"/>
          <w:szCs w:val="24"/>
        </w:rPr>
        <w:t xml:space="preserve"> των νομικών προσώπων</w:t>
      </w:r>
      <w:r w:rsidR="00734322">
        <w:rPr>
          <w:rFonts w:ascii="Eurobank Sans" w:hAnsi="Eurobank Sans"/>
          <w:bCs/>
          <w:color w:val="021342"/>
          <w:sz w:val="24"/>
          <w:szCs w:val="24"/>
        </w:rPr>
        <w:t>.</w:t>
      </w:r>
      <w:r w:rsidRPr="00A10E92">
        <w:rPr>
          <w:rFonts w:ascii="Eurobank Sans" w:hAnsi="Eurobank Sans"/>
          <w:bCs/>
          <w:color w:val="021342"/>
          <w:sz w:val="24"/>
          <w:szCs w:val="24"/>
        </w:rPr>
        <w:t xml:space="preserve"> </w:t>
      </w:r>
      <w:r w:rsidR="00734322">
        <w:rPr>
          <w:rFonts w:ascii="Eurobank Sans" w:hAnsi="Eurobank Sans"/>
          <w:bCs/>
          <w:color w:val="021342"/>
          <w:sz w:val="24"/>
          <w:szCs w:val="24"/>
        </w:rPr>
        <w:t>Ε</w:t>
      </w:r>
      <w:r w:rsidRPr="00A10E92">
        <w:rPr>
          <w:rFonts w:ascii="Eurobank Sans" w:hAnsi="Eurobank Sans"/>
          <w:bCs/>
          <w:color w:val="021342"/>
          <w:sz w:val="24"/>
          <w:szCs w:val="24"/>
        </w:rPr>
        <w:t xml:space="preserve">νδείξεις για </w:t>
      </w:r>
      <w:r w:rsidR="00734322">
        <w:rPr>
          <w:rFonts w:ascii="Eurobank Sans" w:hAnsi="Eurobank Sans"/>
          <w:bCs/>
          <w:color w:val="021342"/>
          <w:sz w:val="24"/>
          <w:szCs w:val="24"/>
        </w:rPr>
        <w:t xml:space="preserve"> </w:t>
      </w:r>
      <w:r w:rsidR="00734322">
        <w:rPr>
          <w:rFonts w:ascii="Eurobank Sans" w:hAnsi="Eurobank Sans"/>
          <w:bCs/>
          <w:color w:val="021342"/>
          <w:sz w:val="24"/>
          <w:szCs w:val="24"/>
        </w:rPr>
        <w:lastRenderedPageBreak/>
        <w:t>αυτά τα μεγέθη</w:t>
      </w:r>
      <w:r w:rsidRPr="00A10E92">
        <w:rPr>
          <w:rFonts w:ascii="Eurobank Sans" w:hAnsi="Eurobank Sans"/>
          <w:bCs/>
          <w:color w:val="021342"/>
          <w:sz w:val="24"/>
          <w:szCs w:val="24"/>
        </w:rPr>
        <w:t xml:space="preserve"> παρέχονται τόσο από την αύξηση των καταθέσεων των επιχειρήσεων συγκριτικά με τα καθαρά κέρδη που δηλώνουν. </w:t>
      </w:r>
      <w:r w:rsidRPr="009C33D7">
        <w:rPr>
          <w:rFonts w:ascii="Eurobank Sans" w:hAnsi="Eurobank Sans"/>
          <w:b/>
          <w:color w:val="021342"/>
          <w:sz w:val="24"/>
          <w:szCs w:val="24"/>
        </w:rPr>
        <w:t>Δεύτερον</w:t>
      </w:r>
      <w:r w:rsidRPr="00A10E92">
        <w:rPr>
          <w:rFonts w:ascii="Eurobank Sans" w:hAnsi="Eurobank Sans"/>
          <w:bCs/>
          <w:color w:val="021342"/>
          <w:sz w:val="24"/>
          <w:szCs w:val="24"/>
        </w:rPr>
        <w:t xml:space="preserve">, </w:t>
      </w:r>
      <w:r w:rsidRPr="009C33D7">
        <w:rPr>
          <w:rFonts w:ascii="Eurobank Sans" w:hAnsi="Eurobank Sans"/>
          <w:b/>
          <w:color w:val="021342"/>
          <w:sz w:val="24"/>
          <w:szCs w:val="24"/>
        </w:rPr>
        <w:t>το μέγεθος του αποκαλούμενου</w:t>
      </w:r>
      <w:r w:rsidRPr="00A10E92">
        <w:rPr>
          <w:rFonts w:ascii="Eurobank Sans" w:hAnsi="Eurobank Sans"/>
          <w:bCs/>
          <w:color w:val="021342"/>
          <w:sz w:val="24"/>
          <w:szCs w:val="24"/>
        </w:rPr>
        <w:t xml:space="preserve"> </w:t>
      </w:r>
      <w:r w:rsidRPr="009C33D7">
        <w:rPr>
          <w:rFonts w:ascii="Eurobank Sans" w:hAnsi="Eurobank Sans"/>
          <w:b/>
          <w:color w:val="021342"/>
          <w:sz w:val="24"/>
          <w:szCs w:val="24"/>
        </w:rPr>
        <w:t>«κενού ΦΠΑ»,</w:t>
      </w:r>
      <w:r w:rsidRPr="00A10E92">
        <w:rPr>
          <w:rFonts w:ascii="Eurobank Sans" w:hAnsi="Eurobank Sans"/>
          <w:bCs/>
          <w:color w:val="021342"/>
          <w:sz w:val="24"/>
          <w:szCs w:val="24"/>
        </w:rPr>
        <w:t xml:space="preserve"> το οποίο –παρά τη</w:t>
      </w:r>
      <w:r w:rsidR="007902D3">
        <w:rPr>
          <w:rFonts w:ascii="Eurobank Sans" w:hAnsi="Eurobank Sans"/>
          <w:bCs/>
          <w:color w:val="021342"/>
          <w:sz w:val="24"/>
          <w:szCs w:val="24"/>
        </w:rPr>
        <w:t>ν αισθητή υποχώρησή του</w:t>
      </w:r>
      <w:r w:rsidRPr="00A10E92">
        <w:rPr>
          <w:rFonts w:ascii="Eurobank Sans" w:hAnsi="Eurobank Sans"/>
          <w:bCs/>
          <w:color w:val="021342"/>
          <w:sz w:val="24"/>
          <w:szCs w:val="24"/>
        </w:rPr>
        <w:t xml:space="preserve"> την περασμένη δεκαετία– παραμένει αναλογικά </w:t>
      </w:r>
      <w:r w:rsidRPr="009C33D7">
        <w:rPr>
          <w:rFonts w:ascii="Eurobank Sans" w:hAnsi="Eurobank Sans"/>
          <w:b/>
          <w:color w:val="021342"/>
          <w:sz w:val="24"/>
          <w:szCs w:val="24"/>
        </w:rPr>
        <w:t>το τρίτο υψηλότερο στην ευρωζώνη</w:t>
      </w:r>
      <w:r w:rsidRPr="00A10E92">
        <w:rPr>
          <w:rFonts w:ascii="Eurobank Sans" w:hAnsi="Eurobank Sans"/>
          <w:bCs/>
          <w:color w:val="021342"/>
          <w:sz w:val="24"/>
          <w:szCs w:val="24"/>
        </w:rPr>
        <w:t xml:space="preserve"> και υπερδιπλάσιο του μέσου όρου της ΕΕ27. Αυτό, σε συνδυασμό με το μεγάλο μέγεθος των αποθεμάτων, καθιστά πιθανή μία συστηματική υποεκτίμηση της δαπάνης λόγω ατελούς συμπερίληψης της φοροδιαφυγής. </w:t>
      </w:r>
      <w:r w:rsidRPr="009C33D7">
        <w:rPr>
          <w:rFonts w:ascii="Eurobank Sans" w:hAnsi="Eurobank Sans"/>
          <w:b/>
          <w:color w:val="021342"/>
          <w:sz w:val="24"/>
          <w:szCs w:val="24"/>
        </w:rPr>
        <w:t>Τρίτον</w:t>
      </w:r>
      <w:r w:rsidRPr="00A10E92">
        <w:rPr>
          <w:rFonts w:ascii="Eurobank Sans" w:hAnsi="Eurobank Sans"/>
          <w:bCs/>
          <w:color w:val="021342"/>
          <w:sz w:val="24"/>
          <w:szCs w:val="24"/>
        </w:rPr>
        <w:t xml:space="preserve">, οι </w:t>
      </w:r>
      <w:r w:rsidRPr="009C33D7">
        <w:rPr>
          <w:rFonts w:ascii="Eurobank Sans" w:hAnsi="Eurobank Sans"/>
          <w:b/>
          <w:color w:val="021342"/>
          <w:sz w:val="24"/>
          <w:szCs w:val="24"/>
        </w:rPr>
        <w:t>ληξιπρόθεσμες οφειλές προς την ΑΑΔΕ</w:t>
      </w:r>
      <w:r w:rsidRPr="00A10E92">
        <w:rPr>
          <w:rFonts w:ascii="Eurobank Sans" w:hAnsi="Eurobank Sans"/>
          <w:bCs/>
          <w:color w:val="021342"/>
          <w:sz w:val="24"/>
          <w:szCs w:val="24"/>
        </w:rPr>
        <w:t>, οι οποίες αν και τυπικά δεν αποτελούν τμήμα της σκιώδους οικονομίας, επιδεινώνουν τις συνέπειές της.</w:t>
      </w:r>
    </w:p>
    <w:p w14:paraId="3D0927A4" w14:textId="3352CA29" w:rsidR="00A10E92" w:rsidRPr="00A10E92" w:rsidRDefault="00A10E92" w:rsidP="00A10E92">
      <w:pPr>
        <w:tabs>
          <w:tab w:val="left" w:pos="-142"/>
        </w:tabs>
        <w:ind w:left="-567" w:right="-567"/>
        <w:jc w:val="both"/>
        <w:rPr>
          <w:rFonts w:ascii="Eurobank Sans" w:hAnsi="Eurobank Sans"/>
          <w:bCs/>
          <w:color w:val="021342"/>
          <w:sz w:val="24"/>
          <w:szCs w:val="24"/>
        </w:rPr>
      </w:pPr>
      <w:r w:rsidRPr="00A10E92">
        <w:rPr>
          <w:rFonts w:ascii="Eurobank Sans" w:hAnsi="Eurobank Sans"/>
          <w:bCs/>
          <w:color w:val="021342"/>
          <w:sz w:val="24"/>
          <w:szCs w:val="24"/>
        </w:rPr>
        <w:t xml:space="preserve">Η άμεση συνέπεια της εκτεταμένης φοροδιαφυγής είναι η απώλεια εσόδων για το Κράτος: Αν και οι δημόσιες δαπάνες ως ποσοστό του ΑΕΠ στην Ελλάδα ξεπερνούν τον μέσο όρο της ΕΕ27, τα φορολογικά έσοδα από άμεσους φόρους υστερούν σημαντικά. Εξίσου σημαντικό είναι το ζήτημα της φορολογικής δικαιοσύνης, δηλαδή ότι για την συγκράτηση αυτού του κενού, το κράτος βασίζεται στην άντληση εσόδων από ομάδες με ανελαστικές φορολογικές επιλογές –κυρίως μισθωτούς και συνταξιούχους: </w:t>
      </w:r>
      <w:r w:rsidRPr="009C33D7">
        <w:rPr>
          <w:rFonts w:ascii="Eurobank Sans" w:hAnsi="Eurobank Sans"/>
          <w:b/>
          <w:color w:val="021342"/>
          <w:sz w:val="24"/>
          <w:szCs w:val="24"/>
        </w:rPr>
        <w:t>Από τα €84δις εισοδημάτων που δήλωσαν για το φορολογικό έτος 2021 τα φυσικά πρόσωπα, τα €66δις (78%) προήλθαν από μισθούς και συντάξεις και μόλις τα €4,3δις (5%)  από επιχειρηματική δραστηριότητα</w:t>
      </w:r>
      <w:r w:rsidRPr="00A10E92">
        <w:rPr>
          <w:rFonts w:ascii="Eurobank Sans" w:hAnsi="Eurobank Sans"/>
          <w:bCs/>
          <w:color w:val="021342"/>
          <w:sz w:val="24"/>
          <w:szCs w:val="24"/>
        </w:rPr>
        <w:t xml:space="preserve"> (7% αν συμπεριληφθεί και η αγροτική επιχειρηματική δραστηριότητα). </w:t>
      </w:r>
      <w:r w:rsidR="00A276C7" w:rsidRPr="009C33D7">
        <w:rPr>
          <w:rFonts w:ascii="Eurobank Sans" w:hAnsi="Eurobank Sans"/>
          <w:b/>
          <w:color w:val="021342"/>
          <w:sz w:val="24"/>
          <w:szCs w:val="24"/>
        </w:rPr>
        <w:t>Το 80% των νοικοκυριών που έχουν επιχειρηματική δραστηριότητα δηλώνει εισοδήματα μικρότερα από €10.000</w:t>
      </w:r>
      <w:r w:rsidR="00C32D80">
        <w:rPr>
          <w:rFonts w:ascii="Eurobank Sans" w:hAnsi="Eurobank Sans"/>
          <w:bCs/>
          <w:color w:val="021342"/>
          <w:sz w:val="24"/>
          <w:szCs w:val="24"/>
        </w:rPr>
        <w:t>.</w:t>
      </w:r>
      <w:r w:rsidR="00A276C7" w:rsidRPr="00A276C7">
        <w:rPr>
          <w:rFonts w:ascii="Eurobank Sans" w:hAnsi="Eurobank Sans"/>
          <w:bCs/>
          <w:color w:val="021342"/>
          <w:sz w:val="24"/>
          <w:szCs w:val="24"/>
        </w:rPr>
        <w:t xml:space="preserve"> </w:t>
      </w:r>
      <w:r w:rsidRPr="00A10E92">
        <w:rPr>
          <w:rFonts w:ascii="Eurobank Sans" w:hAnsi="Eurobank Sans"/>
          <w:bCs/>
          <w:color w:val="021342"/>
          <w:sz w:val="24"/>
          <w:szCs w:val="24"/>
        </w:rPr>
        <w:t xml:space="preserve">Αυτή η </w:t>
      </w:r>
      <w:r w:rsidRPr="009C33D7">
        <w:rPr>
          <w:rFonts w:ascii="Eurobank Sans" w:hAnsi="Eurobank Sans"/>
          <w:b/>
          <w:color w:val="021342"/>
          <w:sz w:val="24"/>
          <w:szCs w:val="24"/>
        </w:rPr>
        <w:t>στρέβλωση</w:t>
      </w:r>
      <w:r w:rsidRPr="00A10E92">
        <w:rPr>
          <w:rFonts w:ascii="Eurobank Sans" w:hAnsi="Eurobank Sans"/>
          <w:bCs/>
          <w:color w:val="021342"/>
          <w:sz w:val="24"/>
          <w:szCs w:val="24"/>
        </w:rPr>
        <w:t xml:space="preserve"> δημιουργεί με τη σειρά της μια νέα: τη </w:t>
      </w:r>
      <w:r w:rsidRPr="009C33D7">
        <w:rPr>
          <w:rFonts w:ascii="Eurobank Sans" w:hAnsi="Eurobank Sans"/>
          <w:b/>
          <w:color w:val="021342"/>
          <w:sz w:val="24"/>
          <w:szCs w:val="24"/>
        </w:rPr>
        <w:t xml:space="preserve">μετατόπιση της οικονομίας σε ένα μοντέλο βασισμένο υπέρμετρα στην </w:t>
      </w:r>
      <w:proofErr w:type="spellStart"/>
      <w:r w:rsidRPr="009C33D7">
        <w:rPr>
          <w:rFonts w:ascii="Eurobank Sans" w:hAnsi="Eurobank Sans"/>
          <w:b/>
          <w:color w:val="021342"/>
          <w:sz w:val="24"/>
          <w:szCs w:val="24"/>
        </w:rPr>
        <w:t>αυτοαπασχόληση</w:t>
      </w:r>
      <w:proofErr w:type="spellEnd"/>
      <w:r w:rsidRPr="00A10E92">
        <w:rPr>
          <w:rFonts w:ascii="Eurobank Sans" w:hAnsi="Eurobank Sans"/>
          <w:bCs/>
          <w:color w:val="021342"/>
          <w:sz w:val="24"/>
          <w:szCs w:val="24"/>
        </w:rPr>
        <w:t xml:space="preserve"> (η Ελλάδα κατέχει την πρώτη θέση στον ΟΟΣΑ και στην ΕΕ27 στη σχετική λίστα) </w:t>
      </w:r>
      <w:r w:rsidRPr="009C33D7">
        <w:rPr>
          <w:rFonts w:ascii="Eurobank Sans" w:hAnsi="Eurobank Sans"/>
          <w:b/>
          <w:color w:val="021342"/>
          <w:sz w:val="24"/>
          <w:szCs w:val="24"/>
        </w:rPr>
        <w:t>και σε έναν μεγάλο αριθμό πολύ μικρών επιχειρήσεων, εις βάρος της μισθωτής εργασίας και των επιχειρήσεων μεγαλύτερου μεγέθους</w:t>
      </w:r>
      <w:r w:rsidRPr="00A10E92">
        <w:rPr>
          <w:rFonts w:ascii="Eurobank Sans" w:hAnsi="Eurobank Sans"/>
          <w:bCs/>
          <w:color w:val="021342"/>
          <w:sz w:val="24"/>
          <w:szCs w:val="24"/>
        </w:rPr>
        <w:t xml:space="preserve"> αντίστοιχα. Καθώς όμως οι </w:t>
      </w:r>
      <w:r w:rsidR="00083641">
        <w:rPr>
          <w:rFonts w:ascii="Eurobank Sans" w:hAnsi="Eurobank Sans"/>
          <w:bCs/>
          <w:color w:val="021342"/>
          <w:sz w:val="24"/>
          <w:szCs w:val="24"/>
        </w:rPr>
        <w:t>πρώτες</w:t>
      </w:r>
      <w:r w:rsidR="00083641" w:rsidRPr="00A10E92">
        <w:rPr>
          <w:rFonts w:ascii="Eurobank Sans" w:hAnsi="Eurobank Sans"/>
          <w:bCs/>
          <w:color w:val="021342"/>
          <w:sz w:val="24"/>
          <w:szCs w:val="24"/>
        </w:rPr>
        <w:t xml:space="preserve"> </w:t>
      </w:r>
      <w:r w:rsidRPr="00A10E92">
        <w:rPr>
          <w:rFonts w:ascii="Eurobank Sans" w:hAnsi="Eurobank Sans"/>
          <w:bCs/>
          <w:color w:val="021342"/>
          <w:sz w:val="24"/>
          <w:szCs w:val="24"/>
        </w:rPr>
        <w:t xml:space="preserve">καινοτομούν σημαντικά λιγότερο σε σχέση με τις </w:t>
      </w:r>
      <w:r w:rsidR="00083641">
        <w:rPr>
          <w:rFonts w:ascii="Eurobank Sans" w:hAnsi="Eurobank Sans"/>
          <w:bCs/>
          <w:color w:val="021342"/>
          <w:sz w:val="24"/>
          <w:szCs w:val="24"/>
        </w:rPr>
        <w:t>δεύτερες</w:t>
      </w:r>
      <w:r w:rsidR="00083641" w:rsidRPr="00A10E92">
        <w:rPr>
          <w:rFonts w:ascii="Eurobank Sans" w:hAnsi="Eurobank Sans"/>
          <w:bCs/>
          <w:color w:val="021342"/>
          <w:sz w:val="24"/>
          <w:szCs w:val="24"/>
        </w:rPr>
        <w:t xml:space="preserve"> </w:t>
      </w:r>
      <w:r w:rsidRPr="00A10E92">
        <w:rPr>
          <w:rFonts w:ascii="Eurobank Sans" w:hAnsi="Eurobank Sans"/>
          <w:bCs/>
          <w:color w:val="021342"/>
          <w:sz w:val="24"/>
          <w:szCs w:val="24"/>
        </w:rPr>
        <w:t xml:space="preserve">και είναι λιγότερο παραγωγικές και εξωστρεφείς, η οικονομία καταλήγει σε μία </w:t>
      </w:r>
      <w:proofErr w:type="spellStart"/>
      <w:r w:rsidRPr="00A10E92">
        <w:rPr>
          <w:rFonts w:ascii="Eurobank Sans" w:hAnsi="Eurobank Sans"/>
          <w:bCs/>
          <w:color w:val="021342"/>
          <w:sz w:val="24"/>
          <w:szCs w:val="24"/>
        </w:rPr>
        <w:t>αυτοτροφοδοτούμενη</w:t>
      </w:r>
      <w:proofErr w:type="spellEnd"/>
      <w:r w:rsidRPr="00A10E92">
        <w:rPr>
          <w:rFonts w:ascii="Eurobank Sans" w:hAnsi="Eurobank Sans"/>
          <w:bCs/>
          <w:color w:val="021342"/>
          <w:sz w:val="24"/>
          <w:szCs w:val="24"/>
        </w:rPr>
        <w:t xml:space="preserve"> παγίδα χαμηλής παραγωγικότητας και επενδύσεων: οι μη ανταγωνιστικοί μισθοί λόγω του στρεβλού μοντέλου αποτρέπουν το </w:t>
      </w:r>
      <w:proofErr w:type="spellStart"/>
      <w:r w:rsidRPr="00A10E92">
        <w:rPr>
          <w:rFonts w:ascii="Eurobank Sans" w:hAnsi="Eurobank Sans"/>
          <w:bCs/>
          <w:color w:val="021342"/>
          <w:sz w:val="24"/>
          <w:szCs w:val="24"/>
        </w:rPr>
        <w:t>brain</w:t>
      </w:r>
      <w:proofErr w:type="spellEnd"/>
      <w:r w:rsidRPr="00A10E92">
        <w:rPr>
          <w:rFonts w:ascii="Eurobank Sans" w:hAnsi="Eurobank Sans"/>
          <w:bCs/>
          <w:color w:val="021342"/>
          <w:sz w:val="24"/>
          <w:szCs w:val="24"/>
        </w:rPr>
        <w:t xml:space="preserve"> </w:t>
      </w:r>
      <w:proofErr w:type="spellStart"/>
      <w:r w:rsidRPr="00A10E92">
        <w:rPr>
          <w:rFonts w:ascii="Eurobank Sans" w:hAnsi="Eurobank Sans"/>
          <w:bCs/>
          <w:color w:val="021342"/>
          <w:sz w:val="24"/>
          <w:szCs w:val="24"/>
        </w:rPr>
        <w:t>regain</w:t>
      </w:r>
      <w:proofErr w:type="spellEnd"/>
      <w:r w:rsidRPr="00A10E92">
        <w:rPr>
          <w:rFonts w:ascii="Eurobank Sans" w:hAnsi="Eurobank Sans"/>
          <w:bCs/>
          <w:color w:val="021342"/>
          <w:sz w:val="24"/>
          <w:szCs w:val="24"/>
        </w:rPr>
        <w:t xml:space="preserve">, ενώ οι πιο παραγωγικές επενδύσεις που θα έδιναν ώθηση στην παραγωγικότητα και τους μισθούς καθυστερούν λόγω έλλειψης κατάλληλου εργατικού δυναμικού αλλά </w:t>
      </w:r>
      <w:r w:rsidR="002F40A6">
        <w:rPr>
          <w:rFonts w:ascii="Eurobank Sans" w:hAnsi="Eurobank Sans"/>
          <w:bCs/>
          <w:color w:val="021342"/>
          <w:sz w:val="24"/>
          <w:szCs w:val="24"/>
        </w:rPr>
        <w:t xml:space="preserve">και </w:t>
      </w:r>
      <w:r w:rsidRPr="00A10E92">
        <w:rPr>
          <w:rFonts w:ascii="Eurobank Sans" w:hAnsi="Eurobank Sans"/>
          <w:bCs/>
          <w:color w:val="021342"/>
          <w:sz w:val="24"/>
          <w:szCs w:val="24"/>
        </w:rPr>
        <w:t>του ανταγωνιστικού μειονεκτήματος που αντιμετωπίζουν οι μεγαλύτερες και πιο καινοτόμες επιχειρήσεις.</w:t>
      </w:r>
    </w:p>
    <w:p w14:paraId="3052B9AA" w14:textId="3D86CC6E" w:rsidR="00E161A1" w:rsidRPr="00552707" w:rsidRDefault="002F40A6" w:rsidP="00A10E92">
      <w:pPr>
        <w:tabs>
          <w:tab w:val="left" w:pos="-142"/>
        </w:tabs>
        <w:ind w:left="-567" w:right="-567"/>
        <w:jc w:val="both"/>
        <w:rPr>
          <w:rFonts w:ascii="Eurobank Sans" w:hAnsi="Eurobank Sans"/>
          <w:bCs/>
          <w:color w:val="021342"/>
          <w:sz w:val="24"/>
          <w:szCs w:val="24"/>
        </w:rPr>
      </w:pPr>
      <w:r>
        <w:rPr>
          <w:rFonts w:ascii="Eurobank Sans" w:hAnsi="Eurobank Sans"/>
          <w:bCs/>
          <w:color w:val="021342"/>
          <w:sz w:val="24"/>
          <w:szCs w:val="24"/>
        </w:rPr>
        <w:t>Συνεπώς, η</w:t>
      </w:r>
      <w:r w:rsidRPr="00A10E92">
        <w:rPr>
          <w:rFonts w:ascii="Eurobank Sans" w:hAnsi="Eurobank Sans"/>
          <w:bCs/>
          <w:color w:val="021342"/>
          <w:sz w:val="24"/>
          <w:szCs w:val="24"/>
        </w:rPr>
        <w:t xml:space="preserve"> </w:t>
      </w:r>
      <w:r w:rsidR="00A10E92" w:rsidRPr="00A10E92">
        <w:rPr>
          <w:rFonts w:ascii="Eurobank Sans" w:hAnsi="Eurobank Sans"/>
          <w:bCs/>
          <w:color w:val="021342"/>
          <w:sz w:val="24"/>
          <w:szCs w:val="24"/>
        </w:rPr>
        <w:t xml:space="preserve">αντιμετώπιση του ζητήματος της παραοικονομίας είναι επιβεβλημένη, όχι μόνο για τη δημοσιονομική εξυγίανση και την δίκαιη κατανομή των οικονομικών βαρών στην ελληνική κοινωνία, αλλά και για την αναπτυξιακή δυναμική και την ίδια τη βιωσιμότητα οικονομίας μας </w:t>
      </w:r>
      <w:proofErr w:type="spellStart"/>
      <w:r w:rsidR="00A10E92" w:rsidRPr="00A10E92">
        <w:rPr>
          <w:rFonts w:ascii="Eurobank Sans" w:hAnsi="Eurobank Sans"/>
          <w:bCs/>
          <w:color w:val="021342"/>
          <w:sz w:val="24"/>
          <w:szCs w:val="24"/>
        </w:rPr>
        <w:t>μεσομακροπρόθεσμα</w:t>
      </w:r>
      <w:proofErr w:type="spellEnd"/>
      <w:r w:rsidR="00A10E92" w:rsidRPr="00A10E92">
        <w:rPr>
          <w:rFonts w:ascii="Eurobank Sans" w:hAnsi="Eurobank Sans"/>
          <w:bCs/>
          <w:color w:val="021342"/>
          <w:sz w:val="24"/>
          <w:szCs w:val="24"/>
        </w:rPr>
        <w:t>. Η μελέτη αναφέρει κάποια από τα μέτρα πολιτικής που έχουν προταθεί για τον έλεγχο της παραοικονομίας</w:t>
      </w:r>
      <w:r w:rsidR="00083641">
        <w:rPr>
          <w:rFonts w:ascii="Eurobank Sans" w:hAnsi="Eurobank Sans"/>
          <w:bCs/>
          <w:color w:val="021342"/>
          <w:sz w:val="24"/>
          <w:szCs w:val="24"/>
        </w:rPr>
        <w:t xml:space="preserve">, εστιασμένα στη μεγαλύτερη </w:t>
      </w:r>
      <w:proofErr w:type="spellStart"/>
      <w:r w:rsidR="00083641">
        <w:rPr>
          <w:rFonts w:ascii="Eurobank Sans" w:hAnsi="Eurobank Sans"/>
          <w:bCs/>
          <w:color w:val="021342"/>
          <w:sz w:val="24"/>
          <w:szCs w:val="24"/>
        </w:rPr>
        <w:t>ψηφιοποίηση</w:t>
      </w:r>
      <w:proofErr w:type="spellEnd"/>
      <w:r w:rsidR="009A3F99">
        <w:rPr>
          <w:rFonts w:ascii="Eurobank Sans" w:hAnsi="Eurobank Sans"/>
          <w:bCs/>
          <w:color w:val="021342"/>
          <w:sz w:val="24"/>
          <w:szCs w:val="24"/>
        </w:rPr>
        <w:t xml:space="preserve"> των διαδικασιών και ελέγχων, καθώς και τη</w:t>
      </w:r>
      <w:r w:rsidR="00083641">
        <w:rPr>
          <w:rFonts w:ascii="Eurobank Sans" w:hAnsi="Eurobank Sans"/>
          <w:bCs/>
          <w:color w:val="021342"/>
          <w:sz w:val="24"/>
          <w:szCs w:val="24"/>
        </w:rPr>
        <w:t xml:space="preserve"> χρήση των ηλεκτρονικών μέσων πληρωμών</w:t>
      </w:r>
      <w:r w:rsidR="00A10E92" w:rsidRPr="00A10E92">
        <w:rPr>
          <w:rFonts w:ascii="Eurobank Sans" w:hAnsi="Eurobank Sans"/>
          <w:bCs/>
          <w:color w:val="021342"/>
          <w:sz w:val="24"/>
          <w:szCs w:val="24"/>
        </w:rPr>
        <w:t xml:space="preserve">. Καταλήγει στην </w:t>
      </w:r>
      <w:r w:rsidR="00A10E92" w:rsidRPr="009C33D7">
        <w:rPr>
          <w:rFonts w:ascii="Eurobank Sans" w:hAnsi="Eurobank Sans"/>
          <w:b/>
          <w:color w:val="021342"/>
          <w:sz w:val="24"/>
          <w:szCs w:val="24"/>
        </w:rPr>
        <w:t>πρόταση πολιτικής</w:t>
      </w:r>
      <w:r w:rsidR="00A10E92" w:rsidRPr="00A10E92">
        <w:rPr>
          <w:rFonts w:ascii="Eurobank Sans" w:hAnsi="Eurobank Sans"/>
          <w:bCs/>
          <w:color w:val="021342"/>
          <w:sz w:val="24"/>
          <w:szCs w:val="24"/>
        </w:rPr>
        <w:t xml:space="preserve"> ότι </w:t>
      </w:r>
      <w:r w:rsidR="00A10E92" w:rsidRPr="009C33D7">
        <w:rPr>
          <w:rFonts w:ascii="Eurobank Sans" w:hAnsi="Eurobank Sans"/>
          <w:b/>
          <w:color w:val="021342"/>
          <w:sz w:val="24"/>
          <w:szCs w:val="24"/>
        </w:rPr>
        <w:t>τα έσοδα από την μείωση της φοροδιαφυγής δεν πρέπει να κατευθυνθούν στην αύξηση των δημοσίων δαπανών</w:t>
      </w:r>
      <w:r w:rsidR="00A10E92" w:rsidRPr="00A10E92">
        <w:rPr>
          <w:rFonts w:ascii="Eurobank Sans" w:hAnsi="Eurobank Sans"/>
          <w:bCs/>
          <w:color w:val="021342"/>
          <w:sz w:val="24"/>
          <w:szCs w:val="24"/>
        </w:rPr>
        <w:t xml:space="preserve">, που είναι ήδη μεγαλύτερες από το μέσο όρο της Ευρωζώνης, </w:t>
      </w:r>
      <w:r w:rsidR="00A10E92" w:rsidRPr="009C33D7">
        <w:rPr>
          <w:rFonts w:ascii="Eurobank Sans" w:hAnsi="Eurobank Sans"/>
          <w:b/>
          <w:color w:val="021342"/>
          <w:sz w:val="24"/>
          <w:szCs w:val="24"/>
        </w:rPr>
        <w:t xml:space="preserve">αλλά στη μείωση του φορολογικού βάρους επί της μισθωτής εργασίας, για την </w:t>
      </w:r>
      <w:proofErr w:type="spellStart"/>
      <w:r w:rsidR="00A10E92" w:rsidRPr="009C33D7">
        <w:rPr>
          <w:rFonts w:ascii="Eurobank Sans" w:hAnsi="Eurobank Sans"/>
          <w:b/>
          <w:color w:val="021342"/>
          <w:sz w:val="24"/>
          <w:szCs w:val="24"/>
        </w:rPr>
        <w:t>κινητροδότηση</w:t>
      </w:r>
      <w:proofErr w:type="spellEnd"/>
      <w:r w:rsidR="00A10E92" w:rsidRPr="009C33D7">
        <w:rPr>
          <w:rFonts w:ascii="Eurobank Sans" w:hAnsi="Eurobank Sans"/>
          <w:b/>
          <w:color w:val="021342"/>
          <w:sz w:val="24"/>
          <w:szCs w:val="24"/>
        </w:rPr>
        <w:t xml:space="preserve"> αλλαγής αναπτυξιακού προτύπου</w:t>
      </w:r>
      <w:r w:rsidR="00A10E92" w:rsidRPr="00A10E92">
        <w:rPr>
          <w:rFonts w:ascii="Eurobank Sans" w:hAnsi="Eurobank Sans"/>
          <w:bCs/>
          <w:color w:val="021342"/>
          <w:sz w:val="24"/>
          <w:szCs w:val="24"/>
        </w:rPr>
        <w:t>.</w:t>
      </w:r>
    </w:p>
    <w:sectPr w:rsidR="00E161A1" w:rsidRPr="00552707">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1F0D" w14:textId="77777777" w:rsidR="00CD409E" w:rsidRDefault="00CD409E" w:rsidP="00C93637">
      <w:pPr>
        <w:spacing w:after="0" w:line="240" w:lineRule="auto"/>
      </w:pPr>
      <w:r>
        <w:separator/>
      </w:r>
    </w:p>
  </w:endnote>
  <w:endnote w:type="continuationSeparator" w:id="0">
    <w:p w14:paraId="3FF26F57" w14:textId="77777777" w:rsidR="00CD409E" w:rsidRDefault="00CD409E" w:rsidP="00C9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Eurobank Sans">
    <w:panose1 w:val="02000503000000020004"/>
    <w:charset w:val="A1"/>
    <w:family w:val="auto"/>
    <w:pitch w:val="variable"/>
    <w:sig w:usb0="A00002BF" w:usb1="5000000A"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FB28" w14:textId="77777777" w:rsidR="00CD409E" w:rsidRDefault="00CD409E" w:rsidP="00C93637">
      <w:pPr>
        <w:spacing w:after="0" w:line="240" w:lineRule="auto"/>
      </w:pPr>
      <w:r>
        <w:separator/>
      </w:r>
    </w:p>
  </w:footnote>
  <w:footnote w:type="continuationSeparator" w:id="0">
    <w:p w14:paraId="5E549C49" w14:textId="77777777" w:rsidR="00CD409E" w:rsidRDefault="00CD409E" w:rsidP="00C93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8883" w14:textId="77777777" w:rsidR="00C93637" w:rsidRDefault="00C93637">
    <w:pPr>
      <w:pStyle w:val="Header"/>
    </w:pPr>
    <w:r>
      <w:rPr>
        <w:noProof/>
        <w:lang w:eastAsia="el-GR"/>
      </w:rPr>
      <w:drawing>
        <wp:anchor distT="0" distB="0" distL="114300" distR="114300" simplePos="0" relativeHeight="251658240" behindDoc="0" locked="0" layoutInCell="1" allowOverlap="1" wp14:anchorId="0D519B4C" wp14:editId="0EBF6BDC">
          <wp:simplePos x="0" y="0"/>
          <wp:positionH relativeFrom="page">
            <wp:align>left</wp:align>
          </wp:positionH>
          <wp:positionV relativeFrom="paragraph">
            <wp:posOffset>-447675</wp:posOffset>
          </wp:positionV>
          <wp:extent cx="7603200" cy="1580400"/>
          <wp:effectExtent l="0" t="0" r="0" b="0"/>
          <wp:wrapTopAndBottom/>
          <wp:docPr id="1" name="Picture 1" descr="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200" cy="1580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379"/>
    <w:multiLevelType w:val="hybridMultilevel"/>
    <w:tmpl w:val="1258148E"/>
    <w:lvl w:ilvl="0" w:tplc="0FE4FBA8">
      <w:start w:val="1"/>
      <w:numFmt w:val="bullet"/>
      <w:lvlText w:val=""/>
      <w:lvlJc w:val="left"/>
      <w:pPr>
        <w:tabs>
          <w:tab w:val="num" w:pos="720"/>
        </w:tabs>
        <w:ind w:left="720" w:hanging="360"/>
      </w:pPr>
      <w:rPr>
        <w:rFonts w:ascii="Wingdings" w:hAnsi="Wingdings" w:hint="default"/>
      </w:rPr>
    </w:lvl>
    <w:lvl w:ilvl="1" w:tplc="273A5614" w:tentative="1">
      <w:start w:val="1"/>
      <w:numFmt w:val="bullet"/>
      <w:lvlText w:val=""/>
      <w:lvlJc w:val="left"/>
      <w:pPr>
        <w:tabs>
          <w:tab w:val="num" w:pos="1440"/>
        </w:tabs>
        <w:ind w:left="1440" w:hanging="360"/>
      </w:pPr>
      <w:rPr>
        <w:rFonts w:ascii="Wingdings" w:hAnsi="Wingdings" w:hint="default"/>
      </w:rPr>
    </w:lvl>
    <w:lvl w:ilvl="2" w:tplc="B6BE0658" w:tentative="1">
      <w:start w:val="1"/>
      <w:numFmt w:val="bullet"/>
      <w:lvlText w:val=""/>
      <w:lvlJc w:val="left"/>
      <w:pPr>
        <w:tabs>
          <w:tab w:val="num" w:pos="2160"/>
        </w:tabs>
        <w:ind w:left="2160" w:hanging="360"/>
      </w:pPr>
      <w:rPr>
        <w:rFonts w:ascii="Wingdings" w:hAnsi="Wingdings" w:hint="default"/>
      </w:rPr>
    </w:lvl>
    <w:lvl w:ilvl="3" w:tplc="DE40E6C2" w:tentative="1">
      <w:start w:val="1"/>
      <w:numFmt w:val="bullet"/>
      <w:lvlText w:val=""/>
      <w:lvlJc w:val="left"/>
      <w:pPr>
        <w:tabs>
          <w:tab w:val="num" w:pos="2880"/>
        </w:tabs>
        <w:ind w:left="2880" w:hanging="360"/>
      </w:pPr>
      <w:rPr>
        <w:rFonts w:ascii="Wingdings" w:hAnsi="Wingdings" w:hint="default"/>
      </w:rPr>
    </w:lvl>
    <w:lvl w:ilvl="4" w:tplc="285E1DE6" w:tentative="1">
      <w:start w:val="1"/>
      <w:numFmt w:val="bullet"/>
      <w:lvlText w:val=""/>
      <w:lvlJc w:val="left"/>
      <w:pPr>
        <w:tabs>
          <w:tab w:val="num" w:pos="3600"/>
        </w:tabs>
        <w:ind w:left="3600" w:hanging="360"/>
      </w:pPr>
      <w:rPr>
        <w:rFonts w:ascii="Wingdings" w:hAnsi="Wingdings" w:hint="default"/>
      </w:rPr>
    </w:lvl>
    <w:lvl w:ilvl="5" w:tplc="4AB68108" w:tentative="1">
      <w:start w:val="1"/>
      <w:numFmt w:val="bullet"/>
      <w:lvlText w:val=""/>
      <w:lvlJc w:val="left"/>
      <w:pPr>
        <w:tabs>
          <w:tab w:val="num" w:pos="4320"/>
        </w:tabs>
        <w:ind w:left="4320" w:hanging="360"/>
      </w:pPr>
      <w:rPr>
        <w:rFonts w:ascii="Wingdings" w:hAnsi="Wingdings" w:hint="default"/>
      </w:rPr>
    </w:lvl>
    <w:lvl w:ilvl="6" w:tplc="987407B6" w:tentative="1">
      <w:start w:val="1"/>
      <w:numFmt w:val="bullet"/>
      <w:lvlText w:val=""/>
      <w:lvlJc w:val="left"/>
      <w:pPr>
        <w:tabs>
          <w:tab w:val="num" w:pos="5040"/>
        </w:tabs>
        <w:ind w:left="5040" w:hanging="360"/>
      </w:pPr>
      <w:rPr>
        <w:rFonts w:ascii="Wingdings" w:hAnsi="Wingdings" w:hint="default"/>
      </w:rPr>
    </w:lvl>
    <w:lvl w:ilvl="7" w:tplc="324AB670" w:tentative="1">
      <w:start w:val="1"/>
      <w:numFmt w:val="bullet"/>
      <w:lvlText w:val=""/>
      <w:lvlJc w:val="left"/>
      <w:pPr>
        <w:tabs>
          <w:tab w:val="num" w:pos="5760"/>
        </w:tabs>
        <w:ind w:left="5760" w:hanging="360"/>
      </w:pPr>
      <w:rPr>
        <w:rFonts w:ascii="Wingdings" w:hAnsi="Wingdings" w:hint="default"/>
      </w:rPr>
    </w:lvl>
    <w:lvl w:ilvl="8" w:tplc="74E019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24472"/>
    <w:multiLevelType w:val="hybridMultilevel"/>
    <w:tmpl w:val="2C9A660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7A6BC8"/>
    <w:multiLevelType w:val="hybridMultilevel"/>
    <w:tmpl w:val="42B23A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6E841D4"/>
    <w:multiLevelType w:val="hybridMultilevel"/>
    <w:tmpl w:val="63BC8E50"/>
    <w:lvl w:ilvl="0" w:tplc="3DAE8B48">
      <w:start w:val="1"/>
      <w:numFmt w:val="bullet"/>
      <w:lvlText w:val=""/>
      <w:lvlJc w:val="left"/>
      <w:pPr>
        <w:tabs>
          <w:tab w:val="num" w:pos="720"/>
        </w:tabs>
        <w:ind w:left="720" w:hanging="360"/>
      </w:pPr>
      <w:rPr>
        <w:rFonts w:ascii="Wingdings" w:hAnsi="Wingdings" w:hint="default"/>
      </w:rPr>
    </w:lvl>
    <w:lvl w:ilvl="1" w:tplc="B39289EC" w:tentative="1">
      <w:start w:val="1"/>
      <w:numFmt w:val="bullet"/>
      <w:lvlText w:val=""/>
      <w:lvlJc w:val="left"/>
      <w:pPr>
        <w:tabs>
          <w:tab w:val="num" w:pos="1440"/>
        </w:tabs>
        <w:ind w:left="1440" w:hanging="360"/>
      </w:pPr>
      <w:rPr>
        <w:rFonts w:ascii="Wingdings" w:hAnsi="Wingdings" w:hint="default"/>
      </w:rPr>
    </w:lvl>
    <w:lvl w:ilvl="2" w:tplc="9618B87A" w:tentative="1">
      <w:start w:val="1"/>
      <w:numFmt w:val="bullet"/>
      <w:lvlText w:val=""/>
      <w:lvlJc w:val="left"/>
      <w:pPr>
        <w:tabs>
          <w:tab w:val="num" w:pos="2160"/>
        </w:tabs>
        <w:ind w:left="2160" w:hanging="360"/>
      </w:pPr>
      <w:rPr>
        <w:rFonts w:ascii="Wingdings" w:hAnsi="Wingdings" w:hint="default"/>
      </w:rPr>
    </w:lvl>
    <w:lvl w:ilvl="3" w:tplc="B922CA8C" w:tentative="1">
      <w:start w:val="1"/>
      <w:numFmt w:val="bullet"/>
      <w:lvlText w:val=""/>
      <w:lvlJc w:val="left"/>
      <w:pPr>
        <w:tabs>
          <w:tab w:val="num" w:pos="2880"/>
        </w:tabs>
        <w:ind w:left="2880" w:hanging="360"/>
      </w:pPr>
      <w:rPr>
        <w:rFonts w:ascii="Wingdings" w:hAnsi="Wingdings" w:hint="default"/>
      </w:rPr>
    </w:lvl>
    <w:lvl w:ilvl="4" w:tplc="01427CC6" w:tentative="1">
      <w:start w:val="1"/>
      <w:numFmt w:val="bullet"/>
      <w:lvlText w:val=""/>
      <w:lvlJc w:val="left"/>
      <w:pPr>
        <w:tabs>
          <w:tab w:val="num" w:pos="3600"/>
        </w:tabs>
        <w:ind w:left="3600" w:hanging="360"/>
      </w:pPr>
      <w:rPr>
        <w:rFonts w:ascii="Wingdings" w:hAnsi="Wingdings" w:hint="default"/>
      </w:rPr>
    </w:lvl>
    <w:lvl w:ilvl="5" w:tplc="3B58180C" w:tentative="1">
      <w:start w:val="1"/>
      <w:numFmt w:val="bullet"/>
      <w:lvlText w:val=""/>
      <w:lvlJc w:val="left"/>
      <w:pPr>
        <w:tabs>
          <w:tab w:val="num" w:pos="4320"/>
        </w:tabs>
        <w:ind w:left="4320" w:hanging="360"/>
      </w:pPr>
      <w:rPr>
        <w:rFonts w:ascii="Wingdings" w:hAnsi="Wingdings" w:hint="default"/>
      </w:rPr>
    </w:lvl>
    <w:lvl w:ilvl="6" w:tplc="E6AAB3A8" w:tentative="1">
      <w:start w:val="1"/>
      <w:numFmt w:val="bullet"/>
      <w:lvlText w:val=""/>
      <w:lvlJc w:val="left"/>
      <w:pPr>
        <w:tabs>
          <w:tab w:val="num" w:pos="5040"/>
        </w:tabs>
        <w:ind w:left="5040" w:hanging="360"/>
      </w:pPr>
      <w:rPr>
        <w:rFonts w:ascii="Wingdings" w:hAnsi="Wingdings" w:hint="default"/>
      </w:rPr>
    </w:lvl>
    <w:lvl w:ilvl="7" w:tplc="CC6E3ED0" w:tentative="1">
      <w:start w:val="1"/>
      <w:numFmt w:val="bullet"/>
      <w:lvlText w:val=""/>
      <w:lvlJc w:val="left"/>
      <w:pPr>
        <w:tabs>
          <w:tab w:val="num" w:pos="5760"/>
        </w:tabs>
        <w:ind w:left="5760" w:hanging="360"/>
      </w:pPr>
      <w:rPr>
        <w:rFonts w:ascii="Wingdings" w:hAnsi="Wingdings" w:hint="default"/>
      </w:rPr>
    </w:lvl>
    <w:lvl w:ilvl="8" w:tplc="3C5013D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41B4C"/>
    <w:multiLevelType w:val="hybridMultilevel"/>
    <w:tmpl w:val="CD92DA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8064F95"/>
    <w:multiLevelType w:val="hybridMultilevel"/>
    <w:tmpl w:val="C994DA5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23805995">
    <w:abstractNumId w:val="2"/>
  </w:num>
  <w:num w:numId="2" w16cid:durableId="293951009">
    <w:abstractNumId w:val="4"/>
  </w:num>
  <w:num w:numId="3" w16cid:durableId="125049109">
    <w:abstractNumId w:val="5"/>
  </w:num>
  <w:num w:numId="4" w16cid:durableId="99420133">
    <w:abstractNumId w:val="3"/>
  </w:num>
  <w:num w:numId="5" w16cid:durableId="186018549">
    <w:abstractNumId w:val="0"/>
  </w:num>
  <w:num w:numId="6" w16cid:durableId="110476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CF6"/>
    <w:rsid w:val="00025003"/>
    <w:rsid w:val="00083641"/>
    <w:rsid w:val="001121D6"/>
    <w:rsid w:val="001257DD"/>
    <w:rsid w:val="00136A5B"/>
    <w:rsid w:val="001571E3"/>
    <w:rsid w:val="00172D8D"/>
    <w:rsid w:val="00175B2F"/>
    <w:rsid w:val="00195773"/>
    <w:rsid w:val="001A17DB"/>
    <w:rsid w:val="001B494D"/>
    <w:rsid w:val="001B7F57"/>
    <w:rsid w:val="001D1C94"/>
    <w:rsid w:val="001F169D"/>
    <w:rsid w:val="00226AC7"/>
    <w:rsid w:val="00264543"/>
    <w:rsid w:val="002D358D"/>
    <w:rsid w:val="002F40A6"/>
    <w:rsid w:val="002F5BDD"/>
    <w:rsid w:val="00301E5A"/>
    <w:rsid w:val="00310C71"/>
    <w:rsid w:val="0032545C"/>
    <w:rsid w:val="003609D1"/>
    <w:rsid w:val="003A5710"/>
    <w:rsid w:val="003C0354"/>
    <w:rsid w:val="003E05EF"/>
    <w:rsid w:val="003E7D6E"/>
    <w:rsid w:val="00400E0E"/>
    <w:rsid w:val="00432BE3"/>
    <w:rsid w:val="004706A5"/>
    <w:rsid w:val="004767C6"/>
    <w:rsid w:val="0048460E"/>
    <w:rsid w:val="004F1B43"/>
    <w:rsid w:val="00552707"/>
    <w:rsid w:val="005770B8"/>
    <w:rsid w:val="00585EA4"/>
    <w:rsid w:val="00593FCD"/>
    <w:rsid w:val="005B1521"/>
    <w:rsid w:val="005D34C2"/>
    <w:rsid w:val="006071CC"/>
    <w:rsid w:val="00670982"/>
    <w:rsid w:val="00685861"/>
    <w:rsid w:val="006931E2"/>
    <w:rsid w:val="006D6648"/>
    <w:rsid w:val="006D75FE"/>
    <w:rsid w:val="00701159"/>
    <w:rsid w:val="007175FB"/>
    <w:rsid w:val="00734322"/>
    <w:rsid w:val="007902D3"/>
    <w:rsid w:val="007D18DB"/>
    <w:rsid w:val="00811303"/>
    <w:rsid w:val="00822ABB"/>
    <w:rsid w:val="00884613"/>
    <w:rsid w:val="00891FD3"/>
    <w:rsid w:val="008A483E"/>
    <w:rsid w:val="008E186E"/>
    <w:rsid w:val="0090333B"/>
    <w:rsid w:val="00954E97"/>
    <w:rsid w:val="009562BD"/>
    <w:rsid w:val="009A3F99"/>
    <w:rsid w:val="009B388D"/>
    <w:rsid w:val="009C33D7"/>
    <w:rsid w:val="009F6A98"/>
    <w:rsid w:val="00A10E92"/>
    <w:rsid w:val="00A276C7"/>
    <w:rsid w:val="00A51D0B"/>
    <w:rsid w:val="00A76CF6"/>
    <w:rsid w:val="00AC510D"/>
    <w:rsid w:val="00AE0BDC"/>
    <w:rsid w:val="00AE70D6"/>
    <w:rsid w:val="00AF06D7"/>
    <w:rsid w:val="00B0386B"/>
    <w:rsid w:val="00B235AB"/>
    <w:rsid w:val="00B543B8"/>
    <w:rsid w:val="00B609FF"/>
    <w:rsid w:val="00BC46C5"/>
    <w:rsid w:val="00C03723"/>
    <w:rsid w:val="00C0609F"/>
    <w:rsid w:val="00C1342C"/>
    <w:rsid w:val="00C16BAC"/>
    <w:rsid w:val="00C32D80"/>
    <w:rsid w:val="00C33CFC"/>
    <w:rsid w:val="00C45631"/>
    <w:rsid w:val="00C93637"/>
    <w:rsid w:val="00CB5D2D"/>
    <w:rsid w:val="00CC5485"/>
    <w:rsid w:val="00CC5608"/>
    <w:rsid w:val="00CD409E"/>
    <w:rsid w:val="00D11645"/>
    <w:rsid w:val="00D118D4"/>
    <w:rsid w:val="00D1648E"/>
    <w:rsid w:val="00D276F9"/>
    <w:rsid w:val="00D5378B"/>
    <w:rsid w:val="00D54396"/>
    <w:rsid w:val="00D75B13"/>
    <w:rsid w:val="00D872FE"/>
    <w:rsid w:val="00D9070C"/>
    <w:rsid w:val="00DB70A8"/>
    <w:rsid w:val="00DC0366"/>
    <w:rsid w:val="00DC2ACD"/>
    <w:rsid w:val="00DD2977"/>
    <w:rsid w:val="00DE0629"/>
    <w:rsid w:val="00E161A1"/>
    <w:rsid w:val="00E26A30"/>
    <w:rsid w:val="00E271D2"/>
    <w:rsid w:val="00E31F27"/>
    <w:rsid w:val="00E55715"/>
    <w:rsid w:val="00E57AF4"/>
    <w:rsid w:val="00EB3224"/>
    <w:rsid w:val="00EC023F"/>
    <w:rsid w:val="00EF2D8E"/>
    <w:rsid w:val="00F00BD4"/>
    <w:rsid w:val="00F056A9"/>
    <w:rsid w:val="00F15B8D"/>
    <w:rsid w:val="00F32181"/>
    <w:rsid w:val="00F67E48"/>
    <w:rsid w:val="00FA137C"/>
    <w:rsid w:val="00FB2C9E"/>
    <w:rsid w:val="00FB56B6"/>
    <w:rsid w:val="00FC2E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1CBBA"/>
  <w15:chartTrackingRefBased/>
  <w15:docId w15:val="{5590A5A2-76D0-437D-94E7-AFEE17E8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6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3637"/>
  </w:style>
  <w:style w:type="paragraph" w:styleId="Footer">
    <w:name w:val="footer"/>
    <w:basedOn w:val="Normal"/>
    <w:link w:val="FooterChar"/>
    <w:uiPriority w:val="99"/>
    <w:unhideWhenUsed/>
    <w:rsid w:val="00C936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3637"/>
  </w:style>
  <w:style w:type="paragraph" w:styleId="NormalWeb">
    <w:name w:val="Normal (Web)"/>
    <w:basedOn w:val="Normal"/>
    <w:uiPriority w:val="99"/>
    <w:unhideWhenUsed/>
    <w:rsid w:val="004706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B70A8"/>
    <w:pPr>
      <w:ind w:left="720"/>
      <w:contextualSpacing/>
    </w:pPr>
  </w:style>
  <w:style w:type="paragraph" w:styleId="Revision">
    <w:name w:val="Revision"/>
    <w:hidden/>
    <w:uiPriority w:val="99"/>
    <w:semiHidden/>
    <w:rsid w:val="00734322"/>
    <w:pPr>
      <w:spacing w:after="0" w:line="240" w:lineRule="auto"/>
    </w:pPr>
  </w:style>
  <w:style w:type="character" w:styleId="CommentReference">
    <w:name w:val="annotation reference"/>
    <w:basedOn w:val="DefaultParagraphFont"/>
    <w:uiPriority w:val="99"/>
    <w:semiHidden/>
    <w:unhideWhenUsed/>
    <w:rsid w:val="00734322"/>
    <w:rPr>
      <w:sz w:val="16"/>
      <w:szCs w:val="16"/>
    </w:rPr>
  </w:style>
  <w:style w:type="paragraph" w:styleId="CommentText">
    <w:name w:val="annotation text"/>
    <w:basedOn w:val="Normal"/>
    <w:link w:val="CommentTextChar"/>
    <w:uiPriority w:val="99"/>
    <w:semiHidden/>
    <w:unhideWhenUsed/>
    <w:rsid w:val="00734322"/>
    <w:pPr>
      <w:spacing w:line="240" w:lineRule="auto"/>
    </w:pPr>
    <w:rPr>
      <w:sz w:val="20"/>
      <w:szCs w:val="20"/>
    </w:rPr>
  </w:style>
  <w:style w:type="character" w:customStyle="1" w:styleId="CommentTextChar">
    <w:name w:val="Comment Text Char"/>
    <w:basedOn w:val="DefaultParagraphFont"/>
    <w:link w:val="CommentText"/>
    <w:uiPriority w:val="99"/>
    <w:semiHidden/>
    <w:rsid w:val="00734322"/>
    <w:rPr>
      <w:sz w:val="20"/>
      <w:szCs w:val="20"/>
    </w:rPr>
  </w:style>
  <w:style w:type="paragraph" w:styleId="CommentSubject">
    <w:name w:val="annotation subject"/>
    <w:basedOn w:val="CommentText"/>
    <w:next w:val="CommentText"/>
    <w:link w:val="CommentSubjectChar"/>
    <w:uiPriority w:val="99"/>
    <w:semiHidden/>
    <w:unhideWhenUsed/>
    <w:rsid w:val="00734322"/>
    <w:rPr>
      <w:b/>
      <w:bCs/>
    </w:rPr>
  </w:style>
  <w:style w:type="character" w:customStyle="1" w:styleId="CommentSubjectChar">
    <w:name w:val="Comment Subject Char"/>
    <w:basedOn w:val="CommentTextChar"/>
    <w:link w:val="CommentSubject"/>
    <w:uiPriority w:val="99"/>
    <w:semiHidden/>
    <w:rsid w:val="007343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EB4CA7F27874FA4FD57F92AA591C3" ma:contentTypeVersion="2" ma:contentTypeDescription="Create a new document." ma:contentTypeScope="" ma:versionID="46581ef3df542fecb53defb5642478a8">
  <xsd:schema xmlns:xsd="http://www.w3.org/2001/XMLSchema" xmlns:xs="http://www.w3.org/2001/XMLSchema" xmlns:p="http://schemas.microsoft.com/office/2006/metadata/properties" xmlns:ns2="a8d44ad2-0d9d-4693-835a-8697d7380530" xmlns:ns3="de3ff1fa-33d6-413e-bb55-0a15baf92163" targetNamespace="http://schemas.microsoft.com/office/2006/metadata/properties" ma:root="true" ma:fieldsID="266283c115f099627c576606748b6e8a" ns2:_="" ns3:_="">
    <xsd:import namespace="a8d44ad2-0d9d-4693-835a-8697d7380530"/>
    <xsd:import namespace="de3ff1fa-33d6-413e-bb55-0a15baf92163"/>
    <xsd:element name="properties">
      <xsd:complexType>
        <xsd:sequence>
          <xsd:element name="documentManagement">
            <xsd:complexType>
              <xsd:all>
                <xsd:element ref="ns2:UnilyIsFeaturedDocument" minOccurs="0"/>
                <xsd:element ref="ns2:UnilyIsTemplate" minOccurs="0"/>
                <xsd:element ref="ns2:j0160d58dc5d4538be8c5795d8cfc68d" minOccurs="0"/>
                <xsd:element ref="ns2:TaxCatchAll"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44ad2-0d9d-4693-835a-8697d7380530" elementFormDefault="qualified">
    <xsd:import namespace="http://schemas.microsoft.com/office/2006/documentManagement/types"/>
    <xsd:import namespace="http://schemas.microsoft.com/office/infopath/2007/PartnerControls"/>
    <xsd:element name="UnilyIsFeaturedDocument" ma:index="8" nillable="true" ma:displayName="Is Featured Document" ma:internalName="UnilyIsFeaturedDocument">
      <xsd:simpleType>
        <xsd:restriction base="dms:Boolean"/>
      </xsd:simpleType>
    </xsd:element>
    <xsd:element name="UnilyIsTemplate" ma:index="9" nillable="true" ma:displayName="Is Template" ma:internalName="UnilyIsTemplate">
      <xsd:simpleType>
        <xsd:restriction base="dms:Boolean"/>
      </xsd:simpleType>
    </xsd:element>
    <xsd:element name="j0160d58dc5d4538be8c5795d8cfc68d" ma:index="10" nillable="true" ma:taxonomy="true" ma:internalName="j0160d58dc5d4538be8c5795d8cfc68d" ma:taxonomyFieldName="UnilyDocumentCategory" ma:displayName="Document Category" ma:default="" ma:fieldId="{30160d58-dc5d-4538-be8c-5795d8cfc68d}" ma:taxonomyMulti="true" ma:sspId="2e1e66aa-bea1-4dc5-b3bb-bfad1ec28d40" ma:termSetId="a814eaba-2ef5-4a71-8db2-2406a56c92d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dd192ba-1ac6-40a9-9c41-6bbfb4b88bc9}" ma:internalName="TaxCatchAll" ma:showField="CatchAllData" ma:web="a8d44ad2-0d9d-4693-835a-8697d738053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dd192ba-1ac6-40a9-9c41-6bbfb4b88bc9}" ma:internalName="TaxCatchAllLabel" ma:readOnly="true" ma:showField="CatchAllDataLabel" ma:web="a8d44ad2-0d9d-4693-835a-8697d73805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3ff1fa-33d6-413e-bb55-0a15baf9216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0160d58dc5d4538be8c5795d8cfc68d xmlns="a8d44ad2-0d9d-4693-835a-8697d7380530">
      <Terms xmlns="http://schemas.microsoft.com/office/infopath/2007/PartnerControls"/>
    </j0160d58dc5d4538be8c5795d8cfc68d>
    <TaxCatchAll xmlns="a8d44ad2-0d9d-4693-835a-8697d7380530" xsi:nil="true"/>
    <UnilyIsFeaturedDocument xmlns="a8d44ad2-0d9d-4693-835a-8697d7380530" xsi:nil="true"/>
    <UnilyIsTemplate xmlns="a8d44ad2-0d9d-4693-835a-8697d73805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37F85-47DD-4CB4-9057-F5AB0AADB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44ad2-0d9d-4693-835a-8697d7380530"/>
    <ds:schemaRef ds:uri="de3ff1fa-33d6-413e-bb55-0a15baf92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796EA-EB8B-4A18-A1CD-8C88628788E8}">
  <ds:schemaRefs>
    <ds:schemaRef ds:uri="http://schemas.microsoft.com/office/2006/metadata/properties"/>
    <ds:schemaRef ds:uri="http://schemas.microsoft.com/office/infopath/2007/PartnerControls"/>
    <ds:schemaRef ds:uri="a8d44ad2-0d9d-4693-835a-8697d7380530"/>
  </ds:schemaRefs>
</ds:datastoreItem>
</file>

<file path=customXml/itemProps3.xml><?xml version="1.0" encoding="utf-8"?>
<ds:datastoreItem xmlns:ds="http://schemas.openxmlformats.org/officeDocument/2006/customXml" ds:itemID="{9C694771-4420-453E-960D-C71D441C2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1004</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Roidi Paraskevi maria (External Partner)</dc:creator>
  <cp:keywords/>
  <dc:description/>
  <cp:lastModifiedBy>Lema Chrysa</cp:lastModifiedBy>
  <cp:revision>5</cp:revision>
  <dcterms:created xsi:type="dcterms:W3CDTF">2023-07-18T11:12:00Z</dcterms:created>
  <dcterms:modified xsi:type="dcterms:W3CDTF">2023-07-18T13:26:00Z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0x010100BC4EB4CA7F27874FA4FD57F92AA591C3</vt:lpwstr>
  </property>
</Properties>
</file>