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DE03" w14:textId="0BF6802B" w:rsidR="00D37C8A" w:rsidRDefault="00D37C8A" w:rsidP="009F1959">
      <w:pPr>
        <w:pStyle w:val="Default"/>
        <w:spacing w:before="200" w:after="200" w:line="276" w:lineRule="auto"/>
        <w:jc w:val="center"/>
        <w:rPr>
          <w:b/>
          <w:bCs/>
          <w:color w:val="244061" w:themeColor="accent1" w:themeShade="80"/>
          <w:sz w:val="40"/>
          <w:szCs w:val="40"/>
          <w:lang w:val="el-GR"/>
        </w:rPr>
      </w:pPr>
      <w:r>
        <w:rPr>
          <w:b/>
          <w:bCs/>
          <w:color w:val="244061" w:themeColor="accent1" w:themeShade="80"/>
          <w:sz w:val="40"/>
          <w:szCs w:val="40"/>
          <w:lang w:val="el-GR"/>
        </w:rPr>
        <w:t>ΔΕΛΤΙΟ ΤΥΠΟΥ</w:t>
      </w:r>
    </w:p>
    <w:p w14:paraId="79C1CA31" w14:textId="77777777" w:rsidR="003238D3" w:rsidRPr="00A35ECA" w:rsidRDefault="003238D3" w:rsidP="004F2A26">
      <w:pPr>
        <w:rPr>
          <w:color w:val="002060"/>
          <w:lang w:val="el-GR"/>
        </w:rPr>
      </w:pPr>
    </w:p>
    <w:p w14:paraId="19196F62" w14:textId="77777777" w:rsidR="00234743" w:rsidRPr="00A02EBC" w:rsidRDefault="00234743" w:rsidP="00234743">
      <w:pPr>
        <w:jc w:val="center"/>
        <w:rPr>
          <w:b/>
          <w:color w:val="002060"/>
          <w:sz w:val="28"/>
          <w:szCs w:val="28"/>
          <w:lang w:val="el-GR"/>
        </w:rPr>
      </w:pPr>
      <w:r w:rsidRPr="00A02EBC">
        <w:rPr>
          <w:b/>
          <w:color w:val="002060"/>
          <w:sz w:val="28"/>
          <w:szCs w:val="28"/>
          <w:lang w:val="el-GR"/>
        </w:rPr>
        <w:t xml:space="preserve">Η </w:t>
      </w:r>
      <w:r w:rsidRPr="00234743">
        <w:rPr>
          <w:b/>
          <w:color w:val="002060"/>
          <w:sz w:val="28"/>
          <w:szCs w:val="28"/>
        </w:rPr>
        <w:t>winbank</w:t>
      </w:r>
      <w:r w:rsidRPr="00A02EBC">
        <w:rPr>
          <w:b/>
          <w:color w:val="002060"/>
          <w:sz w:val="28"/>
          <w:szCs w:val="28"/>
          <w:lang w:val="el-GR"/>
        </w:rPr>
        <w:t xml:space="preserve"> της Τράπεζας Πειραιώς αναβαθμίστηκε και προσφέρει νέες μοναδικές δυνατότητες</w:t>
      </w:r>
    </w:p>
    <w:p w14:paraId="7FD2AF8E" w14:textId="77777777" w:rsidR="00234743" w:rsidRPr="00234743" w:rsidRDefault="00234743" w:rsidP="00234743">
      <w:pPr>
        <w:rPr>
          <w:rFonts w:ascii="Calibri" w:hAnsi="Calibri" w:cs="Calibri"/>
          <w:lang w:val="el-GR"/>
        </w:rPr>
      </w:pPr>
    </w:p>
    <w:p w14:paraId="50A5DA30" w14:textId="62CB4A99" w:rsidR="00234743" w:rsidRDefault="00234743" w:rsidP="00234743">
      <w:pPr>
        <w:jc w:val="both"/>
        <w:rPr>
          <w:rFonts w:eastAsia="Times New Roman" w:cstheme="minorHAnsi"/>
          <w:color w:val="244061" w:themeColor="accent1" w:themeShade="80"/>
          <w:shd w:val="clear" w:color="auto" w:fill="FFFFFF"/>
          <w:lang w:val="el-GR"/>
        </w:rPr>
      </w:pPr>
      <w:r w:rsidRPr="00234743">
        <w:rPr>
          <w:rFonts w:eastAsia="Times New Roman" w:cstheme="minorHAnsi"/>
          <w:color w:val="244061" w:themeColor="accent1" w:themeShade="80"/>
          <w:shd w:val="clear" w:color="auto" w:fill="FFFFFF"/>
          <w:lang w:val="el-GR"/>
        </w:rPr>
        <w:t>H Τράπεζα Πειραιώς, εφαρμόζοντας το πλάνο ψηφιακού μετασχηματισμού, εμπλουτίζει συνεχώς τις online υπηρεσίες της για την άνετη και ταχεία κάλυψη των αναγκών των πελατών της μέσω της winbank web banking και του winbank mobile app με νέες μοναδικές δυνατότητες, χωρίς να είναι απαραίτητη η προσέλευση σε κατάστημα.  </w:t>
      </w:r>
    </w:p>
    <w:p w14:paraId="2BF9C406" w14:textId="77777777" w:rsidR="00234743" w:rsidRPr="00234743" w:rsidRDefault="00234743" w:rsidP="00234743">
      <w:pPr>
        <w:jc w:val="both"/>
        <w:rPr>
          <w:rFonts w:eastAsia="Times New Roman" w:cstheme="minorHAnsi"/>
          <w:color w:val="244061" w:themeColor="accent1" w:themeShade="80"/>
          <w:shd w:val="clear" w:color="auto" w:fill="FFFFFF"/>
          <w:lang w:val="el-GR"/>
        </w:rPr>
      </w:pPr>
    </w:p>
    <w:p w14:paraId="05B04A2B" w14:textId="68EE4E9B" w:rsidR="00234743" w:rsidRDefault="00234743" w:rsidP="00234743">
      <w:pPr>
        <w:jc w:val="both"/>
        <w:rPr>
          <w:rFonts w:eastAsia="Times New Roman" w:cstheme="minorHAnsi"/>
          <w:color w:val="244061" w:themeColor="accent1" w:themeShade="80"/>
          <w:shd w:val="clear" w:color="auto" w:fill="FFFFFF"/>
          <w:lang w:val="el-GR"/>
        </w:rPr>
      </w:pPr>
      <w:r w:rsidRPr="00234743">
        <w:rPr>
          <w:rFonts w:eastAsia="Times New Roman" w:cstheme="minorHAnsi"/>
          <w:color w:val="244061" w:themeColor="accent1" w:themeShade="80"/>
          <w:shd w:val="clear" w:color="auto" w:fill="FFFFFF"/>
          <w:lang w:val="el-GR"/>
        </w:rPr>
        <w:t>Οι δυνατότητες αυτές ολοκληρώνονται αποκλειστικά μέσα στα ψηφιακά κανάλια (winbank web banking &amp; winbank app), χωρίς την ανάγκη επίσκεψης σε κατάστημα σε κανένα στάδιο της διαδικασίας.</w:t>
      </w:r>
    </w:p>
    <w:p w14:paraId="194A789D" w14:textId="77777777" w:rsidR="00234743" w:rsidRPr="00234743" w:rsidRDefault="00234743" w:rsidP="00234743">
      <w:pPr>
        <w:jc w:val="both"/>
        <w:rPr>
          <w:rFonts w:eastAsia="Times New Roman" w:cstheme="minorHAnsi"/>
          <w:color w:val="244061" w:themeColor="accent1" w:themeShade="80"/>
          <w:shd w:val="clear" w:color="auto" w:fill="FFFFFF"/>
          <w:lang w:val="el-GR"/>
        </w:rPr>
      </w:pPr>
    </w:p>
    <w:p w14:paraId="571A0838" w14:textId="5901CC84" w:rsidR="00234743" w:rsidRDefault="00234743" w:rsidP="00234743">
      <w:pPr>
        <w:jc w:val="both"/>
        <w:rPr>
          <w:rFonts w:eastAsia="Times New Roman" w:cstheme="minorHAnsi"/>
          <w:color w:val="244061" w:themeColor="accent1" w:themeShade="80"/>
          <w:shd w:val="clear" w:color="auto" w:fill="FFFFFF"/>
          <w:lang w:val="el-GR"/>
        </w:rPr>
      </w:pPr>
      <w:r w:rsidRPr="00234743">
        <w:rPr>
          <w:rFonts w:eastAsia="Times New Roman" w:cstheme="minorHAnsi"/>
          <w:color w:val="244061" w:themeColor="accent1" w:themeShade="80"/>
          <w:shd w:val="clear" w:color="auto" w:fill="FFFFFF"/>
          <w:lang w:val="el-GR"/>
        </w:rPr>
        <w:t>Πιο συγκεκριμένα, οι νέες μοναδικές δυνατότητες είναι:</w:t>
      </w:r>
    </w:p>
    <w:p w14:paraId="350FC79C" w14:textId="77777777" w:rsidR="00234743" w:rsidRPr="00234743" w:rsidRDefault="00234743" w:rsidP="00234743">
      <w:pPr>
        <w:jc w:val="both"/>
        <w:rPr>
          <w:rFonts w:eastAsia="Times New Roman" w:cstheme="minorHAnsi"/>
          <w:color w:val="244061" w:themeColor="accent1" w:themeShade="80"/>
          <w:shd w:val="clear" w:color="auto" w:fill="FFFFFF"/>
          <w:lang w:val="el-GR"/>
        </w:rPr>
      </w:pPr>
    </w:p>
    <w:p w14:paraId="1CBA39D1" w14:textId="77777777" w:rsidR="00234743" w:rsidRPr="00234743" w:rsidRDefault="00234743" w:rsidP="00234743">
      <w:pPr>
        <w:pStyle w:val="ListParagraph"/>
        <w:numPr>
          <w:ilvl w:val="0"/>
          <w:numId w:val="10"/>
        </w:numPr>
        <w:jc w:val="both"/>
        <w:rPr>
          <w:rFonts w:eastAsia="Times New Roman" w:cstheme="minorHAnsi"/>
          <w:color w:val="244061" w:themeColor="accent1" w:themeShade="80"/>
          <w:shd w:val="clear" w:color="auto" w:fill="FFFFFF"/>
        </w:rPr>
      </w:pPr>
      <w:r w:rsidRPr="00234743">
        <w:rPr>
          <w:rFonts w:eastAsia="Times New Roman" w:cstheme="minorHAnsi"/>
          <w:b/>
          <w:color w:val="244061" w:themeColor="accent1" w:themeShade="80"/>
          <w:shd w:val="clear" w:color="auto" w:fill="FFFFFF"/>
        </w:rPr>
        <w:t>Προσθήκη συνδικαιούχου (web / mobile)</w:t>
      </w:r>
      <w:r w:rsidRPr="00234743">
        <w:rPr>
          <w:rFonts w:eastAsia="Times New Roman" w:cstheme="minorHAnsi"/>
          <w:color w:val="244061" w:themeColor="accent1" w:themeShade="80"/>
          <w:shd w:val="clear" w:color="auto" w:fill="FFFFFF"/>
        </w:rPr>
        <w:t xml:space="preserve"> – Έως σήμερα η προσθήκη συνδικαιούχου απαιτούσε την ταυτόχρονη επίσκεψη όλων των δικαιούχων του λογαριασμού σε κατάστημα. Με τη νέα, μοναδική για την ελληνική τραπεζική αγορά λειτουργικότητα, οι χρήστες  winbank μπορούν να προσθέτουν νέους συνδικαιούχους στον καταθετικό τους λογαριασμό, μέσω μιας εξ ολοκλήρου online διαδικασίας από το winbank web και το νέο winbank mobile app. H φιλική και ασφαλής διαδικασία, ολοκληρώνεται με την αποδοχή όλων των υφιστάμενων δικαιούχων κάθε λογαριασμού, χωρίς επίσκεψη σε κατάστημα.</w:t>
      </w:r>
    </w:p>
    <w:p w14:paraId="2F48C8DD" w14:textId="77777777" w:rsidR="00234743" w:rsidRPr="00234743" w:rsidRDefault="00234743" w:rsidP="00234743">
      <w:pPr>
        <w:jc w:val="both"/>
        <w:rPr>
          <w:rFonts w:eastAsia="Times New Roman" w:cstheme="minorHAnsi"/>
          <w:color w:val="244061" w:themeColor="accent1" w:themeShade="80"/>
          <w:shd w:val="clear" w:color="auto" w:fill="FFFFFF"/>
          <w:lang w:val="el-GR"/>
        </w:rPr>
      </w:pPr>
    </w:p>
    <w:p w14:paraId="164E9A22" w14:textId="77777777" w:rsidR="00234743" w:rsidRPr="00234743" w:rsidRDefault="00234743" w:rsidP="00234743">
      <w:pPr>
        <w:pStyle w:val="ListParagraph"/>
        <w:numPr>
          <w:ilvl w:val="0"/>
          <w:numId w:val="10"/>
        </w:numPr>
        <w:jc w:val="both"/>
        <w:rPr>
          <w:rFonts w:eastAsia="Times New Roman" w:cstheme="minorHAnsi"/>
          <w:color w:val="244061" w:themeColor="accent1" w:themeShade="80"/>
          <w:shd w:val="clear" w:color="auto" w:fill="FFFFFF"/>
        </w:rPr>
      </w:pPr>
      <w:r w:rsidRPr="00234743">
        <w:rPr>
          <w:rFonts w:eastAsia="Times New Roman" w:cstheme="minorHAnsi"/>
          <w:b/>
          <w:color w:val="244061" w:themeColor="accent1" w:themeShade="80"/>
          <w:shd w:val="clear" w:color="auto" w:fill="FFFFFF"/>
        </w:rPr>
        <w:t>Μετατροπή συναλλαγής σε δόσεις με πιστωτική κάρτα)</w:t>
      </w:r>
      <w:r w:rsidRPr="00234743">
        <w:rPr>
          <w:rFonts w:eastAsia="Times New Roman" w:cstheme="minorHAnsi"/>
          <w:color w:val="244061" w:themeColor="accent1" w:themeShade="80"/>
          <w:shd w:val="clear" w:color="auto" w:fill="FFFFFF"/>
        </w:rPr>
        <w:t xml:space="preserve"> – Ήδη από τον Ιούνιο του 2022, η Τράπεζα Πειραιώς μέσω της winbank προσφέρει στους πελάτες τη δυνατότητα να μετατρέψουν σε δόσεις τις εφάπαξ συναλλαγές που πραγματοποιούν με την πιστωτική τους κάρτα. Πρόκειται για έναν καινοτόμο και ευέλικτο τρόπο πληρωμής, που διευκολύνει τον οικονομικό προγραμματισμό των κατόχων πιστωτικών καρτών στις καθημερινές τους αγορές και υποχρεώσεις επιτρέποντάς τους να πληρώνουν με δόσεις, ακόμη και στην περίπτωση που η επιχείρηση με την οποία πραγματοποιούν τη συναλλαγή δεν δίνει τη δυνατότητα δόσεων.</w:t>
      </w:r>
    </w:p>
    <w:p w14:paraId="607BC7A4" w14:textId="77777777" w:rsidR="00234743" w:rsidRPr="00C54259" w:rsidRDefault="00234743" w:rsidP="00234743">
      <w:pPr>
        <w:pStyle w:val="ListParagraph"/>
        <w:rPr>
          <w:rFonts w:ascii="Calibri" w:hAnsi="Calibri" w:cs="Calibri"/>
        </w:rPr>
      </w:pPr>
    </w:p>
    <w:p w14:paraId="7AAE9B4D" w14:textId="51C3FBD4" w:rsidR="00234743" w:rsidRPr="00234743" w:rsidRDefault="00234743" w:rsidP="00234743">
      <w:pPr>
        <w:pStyle w:val="ListParagraph"/>
        <w:numPr>
          <w:ilvl w:val="0"/>
          <w:numId w:val="10"/>
        </w:numPr>
        <w:jc w:val="both"/>
        <w:rPr>
          <w:rFonts w:eastAsia="Times New Roman" w:cstheme="minorHAnsi"/>
          <w:color w:val="244061" w:themeColor="accent1" w:themeShade="80"/>
          <w:shd w:val="clear" w:color="auto" w:fill="FFFFFF"/>
        </w:rPr>
      </w:pPr>
      <w:r w:rsidRPr="00234743">
        <w:rPr>
          <w:rFonts w:eastAsia="Times New Roman" w:cstheme="minorHAnsi"/>
          <w:b/>
          <w:color w:val="244061" w:themeColor="accent1" w:themeShade="80"/>
          <w:shd w:val="clear" w:color="auto" w:fill="FFFFFF"/>
        </w:rPr>
        <w:t>Μετατροπή συναλλαγής σε δόσεις με χρεωστική κάρτα</w:t>
      </w:r>
      <w:r w:rsidRPr="00234743">
        <w:rPr>
          <w:rFonts w:eastAsia="Times New Roman" w:cstheme="minorHAnsi"/>
          <w:color w:val="244061" w:themeColor="accent1" w:themeShade="80"/>
          <w:shd w:val="clear" w:color="auto" w:fill="FFFFFF"/>
        </w:rPr>
        <w:t xml:space="preserve"> – Η Τράπεζα Πειραιώς προσφέρει στους πελάτες της για πρώτη φορά στην ελληνική αγορά,  τη δυνατότητα μετατροπής σε δόσεις, αγορών που έχουν πραγματοποιήσει με τη χρεωστική τους κάρτα, σε όλες τις κατηγορίες επιχειρήσεων. Η νέα λειτουργικότητα «Μετατροπή Συναλλαγής σε Δόσεις» με χρεωστική κάρτα, αποτελεί μία εναλλακτική πρόταση πληρωμής σε πελάτες που επιθυμούν να εξυπηρετηθούν με τη δυνατότητα δόσεων για αγορές μικρής αξίας που πραγματοποιούν με την χρεωστική τους κάρτα,  εξασφαλίζοντας ρευστότητα και ευελιξία αποπληρωμής, σε μεταγενέστερο από την αγορά χρόνο. </w:t>
      </w:r>
      <w:r w:rsidR="007563F4" w:rsidRPr="00234743">
        <w:rPr>
          <w:rFonts w:eastAsia="Times New Roman" w:cstheme="minorHAnsi"/>
          <w:color w:val="244061" w:themeColor="accent1" w:themeShade="80"/>
          <w:shd w:val="clear" w:color="auto" w:fill="FFFFFF"/>
        </w:rPr>
        <w:t>Είναι</w:t>
      </w:r>
      <w:r w:rsidRPr="00234743">
        <w:rPr>
          <w:rFonts w:eastAsia="Times New Roman" w:cstheme="minorHAnsi"/>
          <w:color w:val="244061" w:themeColor="accent1" w:themeShade="80"/>
          <w:shd w:val="clear" w:color="auto" w:fill="FFFFFF"/>
        </w:rPr>
        <w:t xml:space="preserve"> διαθέσιμη μέσω winbank web banking και της νέας winbank app εφαρμογής.</w:t>
      </w:r>
    </w:p>
    <w:p w14:paraId="194367C6" w14:textId="77777777" w:rsidR="00234743" w:rsidRPr="00234743" w:rsidRDefault="00234743" w:rsidP="00234743">
      <w:pPr>
        <w:jc w:val="both"/>
        <w:rPr>
          <w:rFonts w:eastAsia="Times New Roman" w:cstheme="minorHAnsi"/>
          <w:color w:val="244061" w:themeColor="accent1" w:themeShade="80"/>
          <w:shd w:val="clear" w:color="auto" w:fill="FFFFFF"/>
          <w:lang w:val="el-GR"/>
        </w:rPr>
      </w:pPr>
    </w:p>
    <w:p w14:paraId="1788CA1E" w14:textId="77777777" w:rsidR="00234743" w:rsidRPr="00234743" w:rsidRDefault="00234743" w:rsidP="00234743">
      <w:pPr>
        <w:pStyle w:val="ListParagraph"/>
        <w:numPr>
          <w:ilvl w:val="0"/>
          <w:numId w:val="10"/>
        </w:numPr>
        <w:jc w:val="both"/>
        <w:rPr>
          <w:rFonts w:eastAsia="Times New Roman" w:cstheme="minorHAnsi"/>
          <w:color w:val="244061" w:themeColor="accent1" w:themeShade="80"/>
          <w:shd w:val="clear" w:color="auto" w:fill="FFFFFF"/>
        </w:rPr>
      </w:pPr>
      <w:r w:rsidRPr="00234743">
        <w:rPr>
          <w:rFonts w:eastAsia="Times New Roman" w:cstheme="minorHAnsi"/>
          <w:b/>
          <w:color w:val="244061" w:themeColor="accent1" w:themeShade="80"/>
          <w:shd w:val="clear" w:color="auto" w:fill="FFFFFF"/>
        </w:rPr>
        <w:t>Ψηφιακός βοηθός winbank virtual assistant (web / mobile)</w:t>
      </w:r>
      <w:r w:rsidRPr="00234743">
        <w:rPr>
          <w:rFonts w:eastAsia="Times New Roman" w:cstheme="minorHAnsi"/>
          <w:color w:val="244061" w:themeColor="accent1" w:themeShade="80"/>
          <w:shd w:val="clear" w:color="auto" w:fill="FFFFFF"/>
        </w:rPr>
        <w:t xml:space="preserve"> – Η Τράπεζα Πειραιώς είναι η μοναδική Τράπεζα στην Ελλάδα που προσφέρει στο web και μέσω mobile εφαρμογής, ψηφιακό βοηθό που είναι διαθέσιμος 24Χ7 και απαντά σε οποιοδήποτε ερώτημα του πελάτη αφορά την winbank. Ο πελάτης έχει την δυνατότητα να δώσει ανατροφοδότηση σχετικά με την απάντηση που έλαβε στο ερώτημά του, για να αξιοποιηθεί στην περαιτέρω εκπαίδευση του ψηφιακού βοηθού έτσι ώστε να προσφέρει ακόμα καλύτερες απαντήσεις. </w:t>
      </w:r>
    </w:p>
    <w:p w14:paraId="2CECE5ED" w14:textId="77777777" w:rsidR="00234743" w:rsidRPr="00234743" w:rsidRDefault="00234743" w:rsidP="00234743">
      <w:pPr>
        <w:jc w:val="both"/>
        <w:rPr>
          <w:rFonts w:eastAsia="Times New Roman" w:cstheme="minorHAnsi"/>
          <w:color w:val="244061" w:themeColor="accent1" w:themeShade="80"/>
          <w:shd w:val="clear" w:color="auto" w:fill="FFFFFF"/>
          <w:lang w:val="el-GR"/>
        </w:rPr>
      </w:pPr>
      <w:r w:rsidRPr="00234743">
        <w:rPr>
          <w:rFonts w:eastAsia="Times New Roman" w:cstheme="minorHAnsi"/>
          <w:color w:val="244061" w:themeColor="accent1" w:themeShade="80"/>
          <w:shd w:val="clear" w:color="auto" w:fill="FFFFFF"/>
          <w:lang w:val="el-GR"/>
        </w:rPr>
        <w:t>Η Τράπεζα Πειραιώς θα συνεχίσει να εμπλουτίζει τα ψηφιακά κανάλια της winbank (web banking / mobile app) με νέες δυνατότητες και λειτουργίες, προσφέροντας στους πελάτες ολοένα αυξανόμενη ευκολία στην σχέση τους με την Τράπεζα, είτε αφορά την απόκτηση νέων προϊόντων και για υπηρεσίες που μπορεί να ολοκληρώσει μόνος του ο πελάτης χωρίς την ανάγκη επίσκεψης στο κατάστημα ή επικοινωνίας με την εξυπηρέτηση πελατών.</w:t>
      </w:r>
    </w:p>
    <w:p w14:paraId="1CA544A3" w14:textId="77777777" w:rsidR="00D37C8A" w:rsidRPr="009F1959" w:rsidRDefault="00D37C8A" w:rsidP="00D37C8A">
      <w:pPr>
        <w:rPr>
          <w:rFonts w:ascii="Times New Roman" w:hAnsi="Times New Roman"/>
          <w:color w:val="002060"/>
          <w:lang w:val="el-GR"/>
        </w:rPr>
      </w:pPr>
    </w:p>
    <w:p w14:paraId="16A62E61" w14:textId="197032F8" w:rsidR="00A536E7" w:rsidRDefault="00D37C8A" w:rsidP="000D26A8">
      <w:pPr>
        <w:spacing w:before="200" w:after="200"/>
        <w:jc w:val="right"/>
        <w:rPr>
          <w:rFonts w:eastAsia="Times New Roman" w:cstheme="minorHAnsi"/>
          <w:b/>
          <w:color w:val="244061" w:themeColor="accent1" w:themeShade="80"/>
          <w:sz w:val="40"/>
          <w:szCs w:val="40"/>
          <w:lang w:val="el-GR"/>
        </w:rPr>
      </w:pPr>
      <w:r w:rsidRPr="00094458">
        <w:rPr>
          <w:rFonts w:ascii="Calibri" w:hAnsi="Calibri" w:cs="Calibri"/>
          <w:b/>
          <w:bCs/>
          <w:color w:val="244061" w:themeColor="accent1" w:themeShade="80"/>
          <w:lang w:val="el-GR"/>
        </w:rPr>
        <w:t>Αθήνα</w:t>
      </w:r>
      <w:r w:rsidRPr="00094458">
        <w:rPr>
          <w:rFonts w:ascii="Calibri" w:hAnsi="Calibri" w:cs="Calibri"/>
          <w:b/>
          <w:bCs/>
          <w:color w:val="244061" w:themeColor="accent1" w:themeShade="80"/>
        </w:rPr>
        <w:t xml:space="preserve">, </w:t>
      </w:r>
      <w:r w:rsidR="00234743">
        <w:rPr>
          <w:rFonts w:ascii="Calibri" w:hAnsi="Calibri" w:cs="Calibri"/>
          <w:b/>
          <w:bCs/>
          <w:color w:val="244061" w:themeColor="accent1" w:themeShade="80"/>
          <w:lang w:val="el-GR"/>
        </w:rPr>
        <w:t>10</w:t>
      </w:r>
      <w:r w:rsidRPr="00094458">
        <w:rPr>
          <w:rFonts w:ascii="Calibri" w:hAnsi="Calibri" w:cs="Calibri"/>
          <w:b/>
          <w:bCs/>
          <w:color w:val="244061" w:themeColor="accent1" w:themeShade="80"/>
          <w:lang w:val="el-GR"/>
        </w:rPr>
        <w:t xml:space="preserve"> </w:t>
      </w:r>
      <w:r w:rsidR="00234743">
        <w:rPr>
          <w:rFonts w:ascii="Calibri" w:hAnsi="Calibri" w:cs="Calibri"/>
          <w:b/>
          <w:bCs/>
          <w:color w:val="244061" w:themeColor="accent1" w:themeShade="80"/>
          <w:lang w:val="el-GR"/>
        </w:rPr>
        <w:t>Ιουλ</w:t>
      </w:r>
      <w:r w:rsidR="000D26A8">
        <w:rPr>
          <w:rFonts w:ascii="Calibri" w:hAnsi="Calibri" w:cs="Calibri"/>
          <w:b/>
          <w:bCs/>
          <w:color w:val="244061" w:themeColor="accent1" w:themeShade="80"/>
          <w:lang w:val="el-GR"/>
        </w:rPr>
        <w:t>ίου</w:t>
      </w:r>
      <w:r w:rsidRPr="00094458">
        <w:rPr>
          <w:rFonts w:ascii="Calibri" w:hAnsi="Calibri" w:cs="Calibri"/>
          <w:b/>
          <w:bCs/>
          <w:color w:val="244061" w:themeColor="accent1" w:themeShade="80"/>
        </w:rPr>
        <w:t xml:space="preserve"> 20</w:t>
      </w:r>
      <w:r w:rsidRPr="00094458">
        <w:rPr>
          <w:rFonts w:ascii="Calibri" w:hAnsi="Calibri" w:cs="Calibri"/>
          <w:b/>
          <w:bCs/>
          <w:color w:val="244061" w:themeColor="accent1" w:themeShade="80"/>
          <w:lang w:val="el-GR"/>
        </w:rPr>
        <w:t>2</w:t>
      </w:r>
      <w:r w:rsidR="000D26A8">
        <w:rPr>
          <w:rFonts w:ascii="Calibri" w:hAnsi="Calibri" w:cs="Calibri"/>
          <w:b/>
          <w:bCs/>
          <w:color w:val="244061" w:themeColor="accent1" w:themeShade="80"/>
          <w:lang w:val="el-GR"/>
        </w:rPr>
        <w:t>3</w:t>
      </w:r>
    </w:p>
    <w:sectPr w:rsidR="00A536E7" w:rsidSect="009F1959">
      <w:headerReference w:type="default" r:id="rId11"/>
      <w:footerReference w:type="default" r:id="rId12"/>
      <w:headerReference w:type="first" r:id="rId13"/>
      <w:footerReference w:type="first" r:id="rId14"/>
      <w:pgSz w:w="11900" w:h="16840"/>
      <w:pgMar w:top="709" w:right="1127" w:bottom="142" w:left="851" w:header="708"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6696" w14:textId="77777777" w:rsidR="009429D8" w:rsidRDefault="009429D8" w:rsidP="005F3F04">
      <w:r>
        <w:separator/>
      </w:r>
    </w:p>
  </w:endnote>
  <w:endnote w:type="continuationSeparator" w:id="0">
    <w:p w14:paraId="20F2A2C0" w14:textId="77777777" w:rsidR="009429D8" w:rsidRDefault="009429D8" w:rsidP="005F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97D4" w14:textId="77777777" w:rsidR="009E36BA" w:rsidRDefault="009E36BA">
    <w:pPr>
      <w:pStyle w:val="Footer"/>
      <w:jc w:val="right"/>
    </w:pPr>
  </w:p>
  <w:p w14:paraId="525F7296" w14:textId="77777777" w:rsidR="009E36BA" w:rsidRDefault="00C1594C" w:rsidP="009E36BA">
    <w:pPr>
      <w:pStyle w:val="Footer"/>
    </w:pPr>
    <w:r>
      <w:rPr>
        <w:noProof/>
        <w:lang w:val="el-GR" w:eastAsia="el-GR"/>
      </w:rPr>
      <w:drawing>
        <wp:anchor distT="0" distB="0" distL="114300" distR="114300" simplePos="0" relativeHeight="251659264" behindDoc="0" locked="0" layoutInCell="1" allowOverlap="1" wp14:anchorId="47077DE6" wp14:editId="0575BEE5">
          <wp:simplePos x="0" y="0"/>
          <wp:positionH relativeFrom="column">
            <wp:posOffset>-900430</wp:posOffset>
          </wp:positionH>
          <wp:positionV relativeFrom="paragraph">
            <wp:posOffset>-213360</wp:posOffset>
          </wp:positionV>
          <wp:extent cx="7560000" cy="841619"/>
          <wp:effectExtent l="0" t="0" r="9525" b="0"/>
          <wp:wrapSquare wrapText="bothSides"/>
          <wp:docPr id="1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EUSe-epistol1GRbot300.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41619"/>
                  </a:xfrm>
                  <a:prstGeom prst="rect">
                    <a:avLst/>
                  </a:prstGeom>
                </pic:spPr>
              </pic:pic>
            </a:graphicData>
          </a:graphic>
        </wp:anchor>
      </w:drawing>
    </w:r>
  </w:p>
  <w:p w14:paraId="32BBC4C7" w14:textId="77777777" w:rsidR="009E36BA" w:rsidRDefault="009E3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3EFA" w14:textId="77777777" w:rsidR="009E36BA" w:rsidRDefault="00C1594C">
    <w:pPr>
      <w:pStyle w:val="Footer"/>
    </w:pPr>
    <w:r>
      <w:rPr>
        <w:noProof/>
        <w:lang w:val="el-GR" w:eastAsia="el-GR"/>
      </w:rPr>
      <w:drawing>
        <wp:anchor distT="0" distB="0" distL="114300" distR="114300" simplePos="0" relativeHeight="251657216" behindDoc="0" locked="0" layoutInCell="1" allowOverlap="1" wp14:anchorId="0E3A93BE" wp14:editId="7842984B">
          <wp:simplePos x="0" y="0"/>
          <wp:positionH relativeFrom="column">
            <wp:posOffset>-700405</wp:posOffset>
          </wp:positionH>
          <wp:positionV relativeFrom="paragraph">
            <wp:posOffset>-125730</wp:posOffset>
          </wp:positionV>
          <wp:extent cx="7560000" cy="841619"/>
          <wp:effectExtent l="0" t="0" r="3175" b="0"/>
          <wp:wrapSquare wrapText="bothSides"/>
          <wp:docPr id="2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EUSe-epistol1GRbot300.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4161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A078" w14:textId="77777777" w:rsidR="009429D8" w:rsidRDefault="009429D8" w:rsidP="005F3F04">
      <w:r>
        <w:separator/>
      </w:r>
    </w:p>
  </w:footnote>
  <w:footnote w:type="continuationSeparator" w:id="0">
    <w:p w14:paraId="5C3CABC6" w14:textId="77777777" w:rsidR="009429D8" w:rsidRDefault="009429D8" w:rsidP="005F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483F" w14:textId="77777777" w:rsidR="009E36BA" w:rsidRDefault="00C1594C" w:rsidP="009E36BA">
    <w:pPr>
      <w:pStyle w:val="Header"/>
      <w:tabs>
        <w:tab w:val="center" w:pos="4532"/>
        <w:tab w:val="left" w:pos="7275"/>
      </w:tabs>
    </w:pPr>
    <w:r>
      <w:tab/>
    </w:r>
    <w:r>
      <w:tab/>
    </w:r>
    <w:r w:rsidRPr="001F24D8">
      <w:rPr>
        <w:noProof/>
        <w:lang w:val="el-GR" w:eastAsia="el-GR"/>
      </w:rPr>
      <w:drawing>
        <wp:inline distT="0" distB="0" distL="0" distR="0" wp14:anchorId="66B62736" wp14:editId="7E487E9C">
          <wp:extent cx="1085850" cy="866775"/>
          <wp:effectExtent l="0" t="0" r="0" b="9525"/>
          <wp:docPr id="17" name="Picture 49" descr="C:\Users\d707\AppData\Local\Microsoft\Windows\INetCache\Content.Outlook\0WMVMVI2\ΠΕΙΡΑΙΩΣ_GR ΚΙΤΡΙΝΟ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707\AppData\Local\Microsoft\Windows\INetCache\Content.Outlook\0WMVMVI2\ΠΕΙΡΑΙΩΣ_GR ΚΙΤΡΙΝΟ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66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5135" w14:textId="77777777" w:rsidR="009E36BA" w:rsidRDefault="00C1594C" w:rsidP="009E36BA">
    <w:pPr>
      <w:pStyle w:val="Header"/>
      <w:jc w:val="center"/>
    </w:pPr>
    <w:r w:rsidRPr="001F24D8">
      <w:rPr>
        <w:noProof/>
        <w:lang w:val="el-GR" w:eastAsia="el-GR"/>
      </w:rPr>
      <w:drawing>
        <wp:inline distT="0" distB="0" distL="0" distR="0" wp14:anchorId="1128FE9B" wp14:editId="35F46566">
          <wp:extent cx="1085850" cy="866775"/>
          <wp:effectExtent l="0" t="0" r="0" b="9525"/>
          <wp:docPr id="19" name="Picture 51" descr="C:\Users\d707\AppData\Local\Microsoft\Windows\INetCache\Content.Outlook\0WMVMVI2\ΠΕΙΡΑΙΩΣ_GR ΚΙΤΡΙΝΟ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707\AppData\Local\Microsoft\Windows\INetCache\Content.Outlook\0WMVMVI2\ΠΕΙΡΑΙΩΣ_GR ΚΙΤΡΙΝΟ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3818"/>
    <w:multiLevelType w:val="hybridMultilevel"/>
    <w:tmpl w:val="80CEE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3A3282"/>
    <w:multiLevelType w:val="hybridMultilevel"/>
    <w:tmpl w:val="A7C49E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BC0699"/>
    <w:multiLevelType w:val="hybridMultilevel"/>
    <w:tmpl w:val="ACEAFD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9691DCC"/>
    <w:multiLevelType w:val="hybridMultilevel"/>
    <w:tmpl w:val="9C3EA5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AFE41BF"/>
    <w:multiLevelType w:val="hybridMultilevel"/>
    <w:tmpl w:val="0CC405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E1F4DBB"/>
    <w:multiLevelType w:val="multilevel"/>
    <w:tmpl w:val="75C0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915C7"/>
    <w:multiLevelType w:val="hybridMultilevel"/>
    <w:tmpl w:val="C3089A62"/>
    <w:lvl w:ilvl="0" w:tplc="45A41DBA">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C1356B"/>
    <w:multiLevelType w:val="hybridMultilevel"/>
    <w:tmpl w:val="7FE029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6BA161A"/>
    <w:multiLevelType w:val="multilevel"/>
    <w:tmpl w:val="1176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A36606"/>
    <w:multiLevelType w:val="hybridMultilevel"/>
    <w:tmpl w:val="77488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55132234">
    <w:abstractNumId w:val="6"/>
  </w:num>
  <w:num w:numId="2" w16cid:durableId="1819034179">
    <w:abstractNumId w:val="5"/>
  </w:num>
  <w:num w:numId="3" w16cid:durableId="118186799">
    <w:abstractNumId w:val="8"/>
  </w:num>
  <w:num w:numId="4" w16cid:durableId="662465472">
    <w:abstractNumId w:val="4"/>
  </w:num>
  <w:num w:numId="5" w16cid:durableId="1662612188">
    <w:abstractNumId w:val="2"/>
  </w:num>
  <w:num w:numId="6" w16cid:durableId="348794773">
    <w:abstractNumId w:val="0"/>
  </w:num>
  <w:num w:numId="7" w16cid:durableId="87821495">
    <w:abstractNumId w:val="9"/>
  </w:num>
  <w:num w:numId="8" w16cid:durableId="1664966981">
    <w:abstractNumId w:val="1"/>
  </w:num>
  <w:num w:numId="9" w16cid:durableId="430249191">
    <w:abstractNumId w:val="3"/>
  </w:num>
  <w:num w:numId="10" w16cid:durableId="699281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A0"/>
    <w:rsid w:val="0000275B"/>
    <w:rsid w:val="00016A65"/>
    <w:rsid w:val="000173A0"/>
    <w:rsid w:val="00044C01"/>
    <w:rsid w:val="0005722D"/>
    <w:rsid w:val="00061514"/>
    <w:rsid w:val="00080545"/>
    <w:rsid w:val="00081901"/>
    <w:rsid w:val="0008658E"/>
    <w:rsid w:val="00087224"/>
    <w:rsid w:val="0009277F"/>
    <w:rsid w:val="00094458"/>
    <w:rsid w:val="000C4B22"/>
    <w:rsid w:val="000D26A8"/>
    <w:rsid w:val="000E7A83"/>
    <w:rsid w:val="00107913"/>
    <w:rsid w:val="00110245"/>
    <w:rsid w:val="00130378"/>
    <w:rsid w:val="00133308"/>
    <w:rsid w:val="0014210E"/>
    <w:rsid w:val="00145BEC"/>
    <w:rsid w:val="001565DC"/>
    <w:rsid w:val="0017595C"/>
    <w:rsid w:val="00192C1A"/>
    <w:rsid w:val="00197F03"/>
    <w:rsid w:val="001B0CF4"/>
    <w:rsid w:val="001B726B"/>
    <w:rsid w:val="001C724D"/>
    <w:rsid w:val="001D4737"/>
    <w:rsid w:val="001E3358"/>
    <w:rsid w:val="001E45F9"/>
    <w:rsid w:val="001E73D5"/>
    <w:rsid w:val="001F77E1"/>
    <w:rsid w:val="00200BA2"/>
    <w:rsid w:val="0021311A"/>
    <w:rsid w:val="002305DC"/>
    <w:rsid w:val="002320F2"/>
    <w:rsid w:val="00232DCB"/>
    <w:rsid w:val="00234743"/>
    <w:rsid w:val="00244F13"/>
    <w:rsid w:val="00250420"/>
    <w:rsid w:val="00253F1D"/>
    <w:rsid w:val="00254E27"/>
    <w:rsid w:val="002613B5"/>
    <w:rsid w:val="00262525"/>
    <w:rsid w:val="00264C9F"/>
    <w:rsid w:val="00266A13"/>
    <w:rsid w:val="00275164"/>
    <w:rsid w:val="00276585"/>
    <w:rsid w:val="002C00FF"/>
    <w:rsid w:val="002C23A5"/>
    <w:rsid w:val="002D3D62"/>
    <w:rsid w:val="002D743F"/>
    <w:rsid w:val="002D7A5F"/>
    <w:rsid w:val="002E3EBF"/>
    <w:rsid w:val="002E531A"/>
    <w:rsid w:val="002E53BE"/>
    <w:rsid w:val="002F01ED"/>
    <w:rsid w:val="00303E6D"/>
    <w:rsid w:val="003109E9"/>
    <w:rsid w:val="00314117"/>
    <w:rsid w:val="00314A53"/>
    <w:rsid w:val="003238D3"/>
    <w:rsid w:val="00332DA1"/>
    <w:rsid w:val="00335791"/>
    <w:rsid w:val="003423F7"/>
    <w:rsid w:val="00350600"/>
    <w:rsid w:val="00351E74"/>
    <w:rsid w:val="003539F3"/>
    <w:rsid w:val="003636A9"/>
    <w:rsid w:val="00367236"/>
    <w:rsid w:val="00371583"/>
    <w:rsid w:val="003768BE"/>
    <w:rsid w:val="0038503F"/>
    <w:rsid w:val="003851FF"/>
    <w:rsid w:val="003924EA"/>
    <w:rsid w:val="003952F0"/>
    <w:rsid w:val="00396F43"/>
    <w:rsid w:val="003A39E3"/>
    <w:rsid w:val="003A795E"/>
    <w:rsid w:val="003C1EEE"/>
    <w:rsid w:val="003C2530"/>
    <w:rsid w:val="003C3DBB"/>
    <w:rsid w:val="003D0661"/>
    <w:rsid w:val="003D3DB0"/>
    <w:rsid w:val="003D60DA"/>
    <w:rsid w:val="003E2750"/>
    <w:rsid w:val="003F3C24"/>
    <w:rsid w:val="00405431"/>
    <w:rsid w:val="00412B1D"/>
    <w:rsid w:val="00421152"/>
    <w:rsid w:val="00433238"/>
    <w:rsid w:val="00435DB3"/>
    <w:rsid w:val="00437760"/>
    <w:rsid w:val="0044057C"/>
    <w:rsid w:val="00441878"/>
    <w:rsid w:val="004428A5"/>
    <w:rsid w:val="00443D55"/>
    <w:rsid w:val="00453BDA"/>
    <w:rsid w:val="00480415"/>
    <w:rsid w:val="004968F4"/>
    <w:rsid w:val="004A4B5B"/>
    <w:rsid w:val="004A5D22"/>
    <w:rsid w:val="004B7124"/>
    <w:rsid w:val="004C07A3"/>
    <w:rsid w:val="004D0765"/>
    <w:rsid w:val="004D2962"/>
    <w:rsid w:val="004F2A26"/>
    <w:rsid w:val="004F2D84"/>
    <w:rsid w:val="004F3B08"/>
    <w:rsid w:val="004F4F5D"/>
    <w:rsid w:val="004F66F7"/>
    <w:rsid w:val="00507EC4"/>
    <w:rsid w:val="00514D57"/>
    <w:rsid w:val="00524415"/>
    <w:rsid w:val="00531E36"/>
    <w:rsid w:val="00534DCB"/>
    <w:rsid w:val="00537D71"/>
    <w:rsid w:val="005448F4"/>
    <w:rsid w:val="00544D28"/>
    <w:rsid w:val="00546352"/>
    <w:rsid w:val="00553AC2"/>
    <w:rsid w:val="005578AB"/>
    <w:rsid w:val="00561A4F"/>
    <w:rsid w:val="00576B1C"/>
    <w:rsid w:val="00580EDB"/>
    <w:rsid w:val="00583A33"/>
    <w:rsid w:val="00590469"/>
    <w:rsid w:val="00590EC6"/>
    <w:rsid w:val="005A1722"/>
    <w:rsid w:val="005A7382"/>
    <w:rsid w:val="005B25BC"/>
    <w:rsid w:val="005B4D33"/>
    <w:rsid w:val="005B59CB"/>
    <w:rsid w:val="005B63D4"/>
    <w:rsid w:val="005B71EF"/>
    <w:rsid w:val="005D727B"/>
    <w:rsid w:val="005E327C"/>
    <w:rsid w:val="005E6A16"/>
    <w:rsid w:val="005F3F04"/>
    <w:rsid w:val="005F705E"/>
    <w:rsid w:val="006011F2"/>
    <w:rsid w:val="00621E3A"/>
    <w:rsid w:val="0063144E"/>
    <w:rsid w:val="00632AC0"/>
    <w:rsid w:val="00636ECB"/>
    <w:rsid w:val="006406AC"/>
    <w:rsid w:val="006448FE"/>
    <w:rsid w:val="00645413"/>
    <w:rsid w:val="00650A57"/>
    <w:rsid w:val="0065189E"/>
    <w:rsid w:val="00651F75"/>
    <w:rsid w:val="00652E2E"/>
    <w:rsid w:val="00661117"/>
    <w:rsid w:val="00662DBA"/>
    <w:rsid w:val="00664D8C"/>
    <w:rsid w:val="00672C9F"/>
    <w:rsid w:val="0068759F"/>
    <w:rsid w:val="0068768B"/>
    <w:rsid w:val="006A1A8F"/>
    <w:rsid w:val="006A697D"/>
    <w:rsid w:val="006A6D87"/>
    <w:rsid w:val="006B4E79"/>
    <w:rsid w:val="006B5B21"/>
    <w:rsid w:val="006B5E4E"/>
    <w:rsid w:val="006B7896"/>
    <w:rsid w:val="006D6D40"/>
    <w:rsid w:val="006E0C60"/>
    <w:rsid w:val="006E1BBC"/>
    <w:rsid w:val="006E3BB8"/>
    <w:rsid w:val="006F0D29"/>
    <w:rsid w:val="006F2FB1"/>
    <w:rsid w:val="006F4F25"/>
    <w:rsid w:val="006F7E9B"/>
    <w:rsid w:val="00705CA7"/>
    <w:rsid w:val="00710034"/>
    <w:rsid w:val="00721498"/>
    <w:rsid w:val="00724150"/>
    <w:rsid w:val="00724B42"/>
    <w:rsid w:val="007252ED"/>
    <w:rsid w:val="00731558"/>
    <w:rsid w:val="00746875"/>
    <w:rsid w:val="00746BB3"/>
    <w:rsid w:val="007563F4"/>
    <w:rsid w:val="00765C5B"/>
    <w:rsid w:val="00766E86"/>
    <w:rsid w:val="007745C2"/>
    <w:rsid w:val="00776905"/>
    <w:rsid w:val="007813E3"/>
    <w:rsid w:val="00792A4D"/>
    <w:rsid w:val="007A60C6"/>
    <w:rsid w:val="007B136C"/>
    <w:rsid w:val="007B5309"/>
    <w:rsid w:val="007C6971"/>
    <w:rsid w:val="007D038F"/>
    <w:rsid w:val="007D0400"/>
    <w:rsid w:val="007D5F57"/>
    <w:rsid w:val="007E48D1"/>
    <w:rsid w:val="007F7011"/>
    <w:rsid w:val="008008CA"/>
    <w:rsid w:val="00803EBC"/>
    <w:rsid w:val="008055B9"/>
    <w:rsid w:val="00820B0D"/>
    <w:rsid w:val="008223F1"/>
    <w:rsid w:val="008230A7"/>
    <w:rsid w:val="008250C4"/>
    <w:rsid w:val="00835C7A"/>
    <w:rsid w:val="00836793"/>
    <w:rsid w:val="008414AD"/>
    <w:rsid w:val="00846788"/>
    <w:rsid w:val="00851EB6"/>
    <w:rsid w:val="0085717F"/>
    <w:rsid w:val="00861160"/>
    <w:rsid w:val="00862574"/>
    <w:rsid w:val="00880E38"/>
    <w:rsid w:val="00885AC8"/>
    <w:rsid w:val="008975E3"/>
    <w:rsid w:val="008A00F4"/>
    <w:rsid w:val="008A7F69"/>
    <w:rsid w:val="008B558D"/>
    <w:rsid w:val="008C3CBD"/>
    <w:rsid w:val="008D1597"/>
    <w:rsid w:val="008E4BBA"/>
    <w:rsid w:val="009034FA"/>
    <w:rsid w:val="0091003E"/>
    <w:rsid w:val="00910A70"/>
    <w:rsid w:val="0091292E"/>
    <w:rsid w:val="0091413B"/>
    <w:rsid w:val="00920499"/>
    <w:rsid w:val="00922DC7"/>
    <w:rsid w:val="009235A2"/>
    <w:rsid w:val="00937A85"/>
    <w:rsid w:val="0094163A"/>
    <w:rsid w:val="009429D8"/>
    <w:rsid w:val="00962C39"/>
    <w:rsid w:val="00964D60"/>
    <w:rsid w:val="00965D6C"/>
    <w:rsid w:val="009666DD"/>
    <w:rsid w:val="0097260C"/>
    <w:rsid w:val="009861D4"/>
    <w:rsid w:val="009A03DB"/>
    <w:rsid w:val="009A7796"/>
    <w:rsid w:val="009B4B20"/>
    <w:rsid w:val="009C0891"/>
    <w:rsid w:val="009C4F9F"/>
    <w:rsid w:val="009E36BA"/>
    <w:rsid w:val="009F0602"/>
    <w:rsid w:val="009F1320"/>
    <w:rsid w:val="009F1959"/>
    <w:rsid w:val="00A0215C"/>
    <w:rsid w:val="00A02EBC"/>
    <w:rsid w:val="00A0730E"/>
    <w:rsid w:val="00A10E51"/>
    <w:rsid w:val="00A13B50"/>
    <w:rsid w:val="00A25B42"/>
    <w:rsid w:val="00A2688C"/>
    <w:rsid w:val="00A402A6"/>
    <w:rsid w:val="00A43EF1"/>
    <w:rsid w:val="00A5180B"/>
    <w:rsid w:val="00A536E7"/>
    <w:rsid w:val="00A53F4D"/>
    <w:rsid w:val="00A7308E"/>
    <w:rsid w:val="00A75FE8"/>
    <w:rsid w:val="00A773C7"/>
    <w:rsid w:val="00A80983"/>
    <w:rsid w:val="00A849FB"/>
    <w:rsid w:val="00A85E19"/>
    <w:rsid w:val="00A934F2"/>
    <w:rsid w:val="00AA080E"/>
    <w:rsid w:val="00AB3E8D"/>
    <w:rsid w:val="00AB4532"/>
    <w:rsid w:val="00AC2AAA"/>
    <w:rsid w:val="00AD08F6"/>
    <w:rsid w:val="00AD14F6"/>
    <w:rsid w:val="00AE0440"/>
    <w:rsid w:val="00AE3383"/>
    <w:rsid w:val="00AE50A0"/>
    <w:rsid w:val="00AF5367"/>
    <w:rsid w:val="00AF5C2D"/>
    <w:rsid w:val="00B010C8"/>
    <w:rsid w:val="00B02345"/>
    <w:rsid w:val="00B059A4"/>
    <w:rsid w:val="00B10E1B"/>
    <w:rsid w:val="00B11303"/>
    <w:rsid w:val="00B171B0"/>
    <w:rsid w:val="00B172A3"/>
    <w:rsid w:val="00B22A98"/>
    <w:rsid w:val="00B447AC"/>
    <w:rsid w:val="00B53800"/>
    <w:rsid w:val="00B56B34"/>
    <w:rsid w:val="00B61436"/>
    <w:rsid w:val="00B618C1"/>
    <w:rsid w:val="00B6377D"/>
    <w:rsid w:val="00B66B3E"/>
    <w:rsid w:val="00B72C7B"/>
    <w:rsid w:val="00B756A0"/>
    <w:rsid w:val="00B80035"/>
    <w:rsid w:val="00B84A79"/>
    <w:rsid w:val="00B87B6D"/>
    <w:rsid w:val="00B901DF"/>
    <w:rsid w:val="00B91A52"/>
    <w:rsid w:val="00B94B3D"/>
    <w:rsid w:val="00B96A32"/>
    <w:rsid w:val="00BA2FBC"/>
    <w:rsid w:val="00BB20AD"/>
    <w:rsid w:val="00BB6675"/>
    <w:rsid w:val="00BC4D32"/>
    <w:rsid w:val="00BC6428"/>
    <w:rsid w:val="00BC6B4E"/>
    <w:rsid w:val="00BF096A"/>
    <w:rsid w:val="00BF73A6"/>
    <w:rsid w:val="00C02181"/>
    <w:rsid w:val="00C0282F"/>
    <w:rsid w:val="00C033BA"/>
    <w:rsid w:val="00C03F1D"/>
    <w:rsid w:val="00C0750A"/>
    <w:rsid w:val="00C107BC"/>
    <w:rsid w:val="00C1594C"/>
    <w:rsid w:val="00C20D26"/>
    <w:rsid w:val="00C26772"/>
    <w:rsid w:val="00C47F3B"/>
    <w:rsid w:val="00C510CE"/>
    <w:rsid w:val="00C51D0E"/>
    <w:rsid w:val="00C56979"/>
    <w:rsid w:val="00C64A5C"/>
    <w:rsid w:val="00C65359"/>
    <w:rsid w:val="00C72475"/>
    <w:rsid w:val="00C74DFE"/>
    <w:rsid w:val="00C76887"/>
    <w:rsid w:val="00C86CD9"/>
    <w:rsid w:val="00CA7842"/>
    <w:rsid w:val="00CC16F2"/>
    <w:rsid w:val="00CC2129"/>
    <w:rsid w:val="00CC275B"/>
    <w:rsid w:val="00CC314A"/>
    <w:rsid w:val="00CC3E7A"/>
    <w:rsid w:val="00CC587F"/>
    <w:rsid w:val="00CD134D"/>
    <w:rsid w:val="00CF1818"/>
    <w:rsid w:val="00CF26EB"/>
    <w:rsid w:val="00CF68DD"/>
    <w:rsid w:val="00D00F1C"/>
    <w:rsid w:val="00D01641"/>
    <w:rsid w:val="00D01E01"/>
    <w:rsid w:val="00D022F7"/>
    <w:rsid w:val="00D038F6"/>
    <w:rsid w:val="00D107AA"/>
    <w:rsid w:val="00D1147D"/>
    <w:rsid w:val="00D12507"/>
    <w:rsid w:val="00D14986"/>
    <w:rsid w:val="00D2433B"/>
    <w:rsid w:val="00D25CDB"/>
    <w:rsid w:val="00D37C8A"/>
    <w:rsid w:val="00D45CD4"/>
    <w:rsid w:val="00D5022B"/>
    <w:rsid w:val="00D52B2B"/>
    <w:rsid w:val="00D615E7"/>
    <w:rsid w:val="00D80260"/>
    <w:rsid w:val="00D8693C"/>
    <w:rsid w:val="00D90AD5"/>
    <w:rsid w:val="00D93E24"/>
    <w:rsid w:val="00DA28E5"/>
    <w:rsid w:val="00DA2E58"/>
    <w:rsid w:val="00DA46D3"/>
    <w:rsid w:val="00DB6321"/>
    <w:rsid w:val="00DD0895"/>
    <w:rsid w:val="00E07A59"/>
    <w:rsid w:val="00E13F83"/>
    <w:rsid w:val="00E179FF"/>
    <w:rsid w:val="00E43D01"/>
    <w:rsid w:val="00E73F8A"/>
    <w:rsid w:val="00E767DE"/>
    <w:rsid w:val="00E7736E"/>
    <w:rsid w:val="00E83158"/>
    <w:rsid w:val="00E87CA1"/>
    <w:rsid w:val="00EB04B4"/>
    <w:rsid w:val="00EC0105"/>
    <w:rsid w:val="00EC7C9D"/>
    <w:rsid w:val="00EF23F3"/>
    <w:rsid w:val="00EF2B8A"/>
    <w:rsid w:val="00EF4C04"/>
    <w:rsid w:val="00EF78BB"/>
    <w:rsid w:val="00F00DE2"/>
    <w:rsid w:val="00F0111E"/>
    <w:rsid w:val="00F12380"/>
    <w:rsid w:val="00F1326F"/>
    <w:rsid w:val="00F21404"/>
    <w:rsid w:val="00F23EC2"/>
    <w:rsid w:val="00F24613"/>
    <w:rsid w:val="00F26A46"/>
    <w:rsid w:val="00F33001"/>
    <w:rsid w:val="00F435A3"/>
    <w:rsid w:val="00F704AE"/>
    <w:rsid w:val="00F81A8E"/>
    <w:rsid w:val="00F86315"/>
    <w:rsid w:val="00F90EB4"/>
    <w:rsid w:val="00F92AC7"/>
    <w:rsid w:val="00F92DBD"/>
    <w:rsid w:val="00F94B58"/>
    <w:rsid w:val="00FA29C5"/>
    <w:rsid w:val="00FB32BF"/>
    <w:rsid w:val="00FB60AB"/>
    <w:rsid w:val="00FC0913"/>
    <w:rsid w:val="00FC3FFD"/>
    <w:rsid w:val="00FD103F"/>
    <w:rsid w:val="00FD1C27"/>
    <w:rsid w:val="00FD704F"/>
    <w:rsid w:val="00FD7FD1"/>
    <w:rsid w:val="00FE0BE3"/>
    <w:rsid w:val="00FE1216"/>
    <w:rsid w:val="00FE2E21"/>
    <w:rsid w:val="00FE74EA"/>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1A5588"/>
  <w15:docId w15:val="{DCB1614A-020A-453F-BDD2-6ED41531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A0"/>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234743"/>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l-GR"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0A0"/>
    <w:pPr>
      <w:tabs>
        <w:tab w:val="center" w:pos="4320"/>
        <w:tab w:val="right" w:pos="8640"/>
      </w:tabs>
    </w:pPr>
  </w:style>
  <w:style w:type="character" w:customStyle="1" w:styleId="HeaderChar">
    <w:name w:val="Header Char"/>
    <w:basedOn w:val="DefaultParagraphFont"/>
    <w:link w:val="Header"/>
    <w:uiPriority w:val="99"/>
    <w:rsid w:val="00AE50A0"/>
    <w:rPr>
      <w:rFonts w:eastAsiaTheme="minorEastAsia"/>
      <w:sz w:val="24"/>
      <w:szCs w:val="24"/>
      <w:lang w:val="en-US"/>
    </w:rPr>
  </w:style>
  <w:style w:type="paragraph" w:styleId="Footer">
    <w:name w:val="footer"/>
    <w:basedOn w:val="Normal"/>
    <w:link w:val="FooterChar"/>
    <w:uiPriority w:val="99"/>
    <w:unhideWhenUsed/>
    <w:rsid w:val="00AE50A0"/>
    <w:pPr>
      <w:tabs>
        <w:tab w:val="center" w:pos="4320"/>
        <w:tab w:val="right" w:pos="8640"/>
      </w:tabs>
    </w:pPr>
  </w:style>
  <w:style w:type="character" w:customStyle="1" w:styleId="FooterChar">
    <w:name w:val="Footer Char"/>
    <w:basedOn w:val="DefaultParagraphFont"/>
    <w:link w:val="Footer"/>
    <w:uiPriority w:val="99"/>
    <w:rsid w:val="00AE50A0"/>
    <w:rPr>
      <w:rFonts w:eastAsiaTheme="minorEastAsia"/>
      <w:sz w:val="24"/>
      <w:szCs w:val="24"/>
      <w:lang w:val="en-US"/>
    </w:rPr>
  </w:style>
  <w:style w:type="paragraph" w:styleId="BalloonText">
    <w:name w:val="Balloon Text"/>
    <w:basedOn w:val="Normal"/>
    <w:link w:val="BalloonTextChar"/>
    <w:uiPriority w:val="99"/>
    <w:semiHidden/>
    <w:unhideWhenUsed/>
    <w:rsid w:val="00AE50A0"/>
    <w:rPr>
      <w:rFonts w:ascii="Tahoma" w:hAnsi="Tahoma" w:cs="Tahoma"/>
      <w:sz w:val="16"/>
      <w:szCs w:val="16"/>
    </w:rPr>
  </w:style>
  <w:style w:type="character" w:customStyle="1" w:styleId="BalloonTextChar">
    <w:name w:val="Balloon Text Char"/>
    <w:basedOn w:val="DefaultParagraphFont"/>
    <w:link w:val="BalloonText"/>
    <w:uiPriority w:val="99"/>
    <w:semiHidden/>
    <w:rsid w:val="00AE50A0"/>
    <w:rPr>
      <w:rFonts w:ascii="Tahoma" w:eastAsiaTheme="minorEastAsia" w:hAnsi="Tahoma" w:cs="Tahoma"/>
      <w:sz w:val="16"/>
      <w:szCs w:val="16"/>
      <w:lang w:val="en-US"/>
    </w:rPr>
  </w:style>
  <w:style w:type="character" w:styleId="Hyperlink">
    <w:name w:val="Hyperlink"/>
    <w:basedOn w:val="DefaultParagraphFont"/>
    <w:uiPriority w:val="99"/>
    <w:unhideWhenUsed/>
    <w:rsid w:val="006F2FB1"/>
    <w:rPr>
      <w:color w:val="0000FF"/>
      <w:u w:val="single"/>
    </w:rPr>
  </w:style>
  <w:style w:type="character" w:customStyle="1" w:styleId="UnresolvedMention1">
    <w:name w:val="Unresolved Mention1"/>
    <w:basedOn w:val="DefaultParagraphFont"/>
    <w:uiPriority w:val="99"/>
    <w:semiHidden/>
    <w:unhideWhenUsed/>
    <w:rsid w:val="00437760"/>
    <w:rPr>
      <w:color w:val="605E5C"/>
      <w:shd w:val="clear" w:color="auto" w:fill="E1DFDD"/>
    </w:rPr>
  </w:style>
  <w:style w:type="paragraph" w:styleId="ListParagraph">
    <w:name w:val="List Paragraph"/>
    <w:basedOn w:val="Normal"/>
    <w:uiPriority w:val="34"/>
    <w:qFormat/>
    <w:rsid w:val="00435DB3"/>
    <w:pPr>
      <w:spacing w:after="160" w:line="259" w:lineRule="auto"/>
      <w:ind w:left="720"/>
      <w:contextualSpacing/>
    </w:pPr>
    <w:rPr>
      <w:rFonts w:eastAsiaTheme="minorHAnsi"/>
      <w:sz w:val="22"/>
      <w:szCs w:val="22"/>
      <w:lang w:val="el-GR"/>
    </w:rPr>
  </w:style>
  <w:style w:type="paragraph" w:styleId="NormalWeb">
    <w:name w:val="Normal (Web)"/>
    <w:basedOn w:val="Normal"/>
    <w:uiPriority w:val="99"/>
    <w:unhideWhenUsed/>
    <w:rsid w:val="00CC275B"/>
    <w:pPr>
      <w:spacing w:before="100" w:beforeAutospacing="1" w:after="100" w:afterAutospacing="1"/>
    </w:pPr>
    <w:rPr>
      <w:rFonts w:ascii="Times New Roman" w:eastAsia="Times New Roman" w:hAnsi="Times New Roman" w:cs="Times New Roman"/>
      <w:lang w:val="el-GR" w:eastAsia="el-GR"/>
    </w:rPr>
  </w:style>
  <w:style w:type="character" w:styleId="Strong">
    <w:name w:val="Strong"/>
    <w:basedOn w:val="DefaultParagraphFont"/>
    <w:uiPriority w:val="22"/>
    <w:qFormat/>
    <w:rsid w:val="00CC275B"/>
    <w:rPr>
      <w:b/>
      <w:bCs/>
    </w:rPr>
  </w:style>
  <w:style w:type="paragraph" w:styleId="NoSpacing">
    <w:name w:val="No Spacing"/>
    <w:uiPriority w:val="1"/>
    <w:qFormat/>
    <w:rsid w:val="00C033BA"/>
    <w:pPr>
      <w:spacing w:after="0" w:line="240" w:lineRule="auto"/>
    </w:pPr>
    <w:rPr>
      <w:rFonts w:eastAsiaTheme="minorEastAsia"/>
      <w:sz w:val="24"/>
      <w:szCs w:val="24"/>
      <w:lang w:val="en-US"/>
    </w:rPr>
  </w:style>
  <w:style w:type="paragraph" w:customStyle="1" w:styleId="xmsonormal">
    <w:name w:val="x_msonormal"/>
    <w:basedOn w:val="Normal"/>
    <w:rsid w:val="00CC587F"/>
    <w:pPr>
      <w:spacing w:before="100" w:beforeAutospacing="1" w:after="100" w:afterAutospacing="1"/>
    </w:pPr>
    <w:rPr>
      <w:rFonts w:ascii="Times New Roman" w:eastAsia="Times New Roman" w:hAnsi="Times New Roman" w:cs="Times New Roman"/>
      <w:lang w:val="el-GR" w:eastAsia="el-GR"/>
    </w:rPr>
  </w:style>
  <w:style w:type="character" w:styleId="CommentReference">
    <w:name w:val="annotation reference"/>
    <w:basedOn w:val="DefaultParagraphFont"/>
    <w:uiPriority w:val="99"/>
    <w:semiHidden/>
    <w:unhideWhenUsed/>
    <w:rsid w:val="00192C1A"/>
    <w:rPr>
      <w:sz w:val="16"/>
      <w:szCs w:val="16"/>
    </w:rPr>
  </w:style>
  <w:style w:type="paragraph" w:styleId="CommentText">
    <w:name w:val="annotation text"/>
    <w:basedOn w:val="Normal"/>
    <w:link w:val="CommentTextChar"/>
    <w:uiPriority w:val="99"/>
    <w:semiHidden/>
    <w:unhideWhenUsed/>
    <w:rsid w:val="00192C1A"/>
    <w:rPr>
      <w:sz w:val="20"/>
      <w:szCs w:val="20"/>
    </w:rPr>
  </w:style>
  <w:style w:type="character" w:customStyle="1" w:styleId="CommentTextChar">
    <w:name w:val="Comment Text Char"/>
    <w:basedOn w:val="DefaultParagraphFont"/>
    <w:link w:val="CommentText"/>
    <w:uiPriority w:val="99"/>
    <w:semiHidden/>
    <w:rsid w:val="00192C1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92C1A"/>
    <w:rPr>
      <w:b/>
      <w:bCs/>
    </w:rPr>
  </w:style>
  <w:style w:type="character" w:customStyle="1" w:styleId="CommentSubjectChar">
    <w:name w:val="Comment Subject Char"/>
    <w:basedOn w:val="CommentTextChar"/>
    <w:link w:val="CommentSubject"/>
    <w:uiPriority w:val="99"/>
    <w:semiHidden/>
    <w:rsid w:val="00192C1A"/>
    <w:rPr>
      <w:rFonts w:eastAsiaTheme="minorEastAsia"/>
      <w:b/>
      <w:bCs/>
      <w:sz w:val="20"/>
      <w:szCs w:val="20"/>
      <w:lang w:val="en-US"/>
    </w:rPr>
  </w:style>
  <w:style w:type="paragraph" w:styleId="Revision">
    <w:name w:val="Revision"/>
    <w:hidden/>
    <w:uiPriority w:val="99"/>
    <w:semiHidden/>
    <w:rsid w:val="008230A7"/>
    <w:pPr>
      <w:spacing w:after="0" w:line="240" w:lineRule="auto"/>
    </w:pPr>
    <w:rPr>
      <w:rFonts w:eastAsiaTheme="minorEastAsia"/>
      <w:sz w:val="24"/>
      <w:szCs w:val="24"/>
      <w:lang w:val="en-US"/>
    </w:rPr>
  </w:style>
  <w:style w:type="paragraph" w:customStyle="1" w:styleId="Default">
    <w:name w:val="Default"/>
    <w:rsid w:val="00D37C8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4F2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4743"/>
    <w:rPr>
      <w:rFonts w:asciiTheme="majorHAnsi" w:eastAsiaTheme="majorEastAsia" w:hAnsiTheme="majorHAnsi" w:cstheme="majorBidi"/>
      <w:color w:val="365F91" w:themeColor="accent1" w:themeShade="BF"/>
      <w:sz w:val="32"/>
      <w:szCs w:val="3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2798">
      <w:bodyDiv w:val="1"/>
      <w:marLeft w:val="0"/>
      <w:marRight w:val="0"/>
      <w:marTop w:val="0"/>
      <w:marBottom w:val="0"/>
      <w:divBdr>
        <w:top w:val="none" w:sz="0" w:space="0" w:color="auto"/>
        <w:left w:val="none" w:sz="0" w:space="0" w:color="auto"/>
        <w:bottom w:val="none" w:sz="0" w:space="0" w:color="auto"/>
        <w:right w:val="none" w:sz="0" w:space="0" w:color="auto"/>
      </w:divBdr>
    </w:div>
    <w:div w:id="1219628542">
      <w:bodyDiv w:val="1"/>
      <w:marLeft w:val="0"/>
      <w:marRight w:val="0"/>
      <w:marTop w:val="0"/>
      <w:marBottom w:val="0"/>
      <w:divBdr>
        <w:top w:val="none" w:sz="0" w:space="0" w:color="auto"/>
        <w:left w:val="none" w:sz="0" w:space="0" w:color="auto"/>
        <w:bottom w:val="none" w:sz="0" w:space="0" w:color="auto"/>
        <w:right w:val="none" w:sz="0" w:space="0" w:color="auto"/>
      </w:divBdr>
    </w:div>
    <w:div w:id="1307709055">
      <w:bodyDiv w:val="1"/>
      <w:marLeft w:val="0"/>
      <w:marRight w:val="0"/>
      <w:marTop w:val="0"/>
      <w:marBottom w:val="0"/>
      <w:divBdr>
        <w:top w:val="none" w:sz="0" w:space="0" w:color="auto"/>
        <w:left w:val="none" w:sz="0" w:space="0" w:color="auto"/>
        <w:bottom w:val="none" w:sz="0" w:space="0" w:color="auto"/>
        <w:right w:val="none" w:sz="0" w:space="0" w:color="auto"/>
      </w:divBdr>
    </w:div>
    <w:div w:id="20844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e1b613-6b3e-4c72-9cf2-0eafd72d21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6C1432E7F83B4082F29BD7D81308F2" ma:contentTypeVersion="13" ma:contentTypeDescription="Create a new document." ma:contentTypeScope="" ma:versionID="89ce9a790c31126e0d05a5b6f8486c4c">
  <xsd:schema xmlns:xsd="http://www.w3.org/2001/XMLSchema" xmlns:xs="http://www.w3.org/2001/XMLSchema" xmlns:p="http://schemas.microsoft.com/office/2006/metadata/properties" xmlns:ns3="fb25c6a7-d202-4d9a-a178-c8e4f258af61" xmlns:ns4="4fe1b613-6b3e-4c72-9cf2-0eafd72d21f5" targetNamespace="http://schemas.microsoft.com/office/2006/metadata/properties" ma:root="true" ma:fieldsID="f36e2b75c336c32cdcf39b2047e7fb85" ns3:_="" ns4:_="">
    <xsd:import namespace="fb25c6a7-d202-4d9a-a178-c8e4f258af61"/>
    <xsd:import namespace="4fe1b613-6b3e-4c72-9cf2-0eafd72d21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5c6a7-d202-4d9a-a178-c8e4f258af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1b613-6b3e-4c72-9cf2-0eafd72d21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B81C0-B3CB-4B65-8402-E55271825DE3}">
  <ds:schemaRefs>
    <ds:schemaRef ds:uri="http://schemas.microsoft.com/sharepoint/v3/contenttype/forms"/>
  </ds:schemaRefs>
</ds:datastoreItem>
</file>

<file path=customXml/itemProps2.xml><?xml version="1.0" encoding="utf-8"?>
<ds:datastoreItem xmlns:ds="http://schemas.openxmlformats.org/officeDocument/2006/customXml" ds:itemID="{1EF643CF-808C-4EED-AB1E-09B7E23D522B}">
  <ds:schemaRefs>
    <ds:schemaRef ds:uri="http://purl.org/dc/elements/1.1/"/>
    <ds:schemaRef ds:uri="http://schemas.microsoft.com/office/2006/metadata/properties"/>
    <ds:schemaRef ds:uri="4fe1b613-6b3e-4c72-9cf2-0eafd72d21f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b25c6a7-d202-4d9a-a178-c8e4f258af61"/>
    <ds:schemaRef ds:uri="http://www.w3.org/XML/1998/namespace"/>
    <ds:schemaRef ds:uri="http://purl.org/dc/dcmitype/"/>
  </ds:schemaRefs>
</ds:datastoreItem>
</file>

<file path=customXml/itemProps3.xml><?xml version="1.0" encoding="utf-8"?>
<ds:datastoreItem xmlns:ds="http://schemas.openxmlformats.org/officeDocument/2006/customXml" ds:itemID="{A7887CF0-2455-4E72-90B2-7170D46EB936}">
  <ds:schemaRefs>
    <ds:schemaRef ds:uri="http://schemas.openxmlformats.org/officeDocument/2006/bibliography"/>
  </ds:schemaRefs>
</ds:datastoreItem>
</file>

<file path=customXml/itemProps4.xml><?xml version="1.0" encoding="utf-8"?>
<ds:datastoreItem xmlns:ds="http://schemas.openxmlformats.org/officeDocument/2006/customXml" ds:itemID="{91F71F0A-FAEB-4224-83C1-2FF68DC2C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5c6a7-d202-4d9a-a178-c8e4f258af61"/>
    <ds:schemaRef ds:uri="4fe1b613-6b3e-4c72-9cf2-0eafd72d2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2895</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Mylona Antonia</cp:lastModifiedBy>
  <cp:revision>5</cp:revision>
  <cp:lastPrinted>2023-06-19T09:32:00Z</cp:lastPrinted>
  <dcterms:created xsi:type="dcterms:W3CDTF">2023-07-06T11:38:00Z</dcterms:created>
  <dcterms:modified xsi:type="dcterms:W3CDTF">2023-07-06T11:42:00Z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c1004-b24f-4bde-8aad-2ae45b2e013d_Enabled">
    <vt:lpwstr>true</vt:lpwstr>
  </property>
  <property fmtid="{D5CDD505-2E9C-101B-9397-08002B2CF9AE}" pid="3" name="MSIP_Label_958c1004-b24f-4bde-8aad-2ae45b2e013d_SetDate">
    <vt:lpwstr>2022-02-17T08:19:24Z</vt:lpwstr>
  </property>
  <property fmtid="{D5CDD505-2E9C-101B-9397-08002B2CF9AE}" pid="4" name="MSIP_Label_958c1004-b24f-4bde-8aad-2ae45b2e013d_Method">
    <vt:lpwstr>Standard</vt:lpwstr>
  </property>
  <property fmtid="{D5CDD505-2E9C-101B-9397-08002B2CF9AE}" pid="5" name="MSIP_Label_958c1004-b24f-4bde-8aad-2ae45b2e013d_Name">
    <vt:lpwstr>Internal Use</vt:lpwstr>
  </property>
  <property fmtid="{D5CDD505-2E9C-101B-9397-08002B2CF9AE}" pid="6" name="MSIP_Label_958c1004-b24f-4bde-8aad-2ae45b2e013d_SiteId">
    <vt:lpwstr>4f1b3dbb-846d-4206-92b5-ac1cf048dbb2</vt:lpwstr>
  </property>
  <property fmtid="{D5CDD505-2E9C-101B-9397-08002B2CF9AE}" pid="7" name="MSIP_Label_958c1004-b24f-4bde-8aad-2ae45b2e013d_ActionId">
    <vt:lpwstr>77d03409-31fc-4f94-8e55-cc78e7049722</vt:lpwstr>
  </property>
  <property fmtid="{D5CDD505-2E9C-101B-9397-08002B2CF9AE}" pid="8" name="MSIP_Label_958c1004-b24f-4bde-8aad-2ae45b2e013d_ContentBits">
    <vt:lpwstr>0</vt:lpwstr>
  </property>
  <property fmtid="{D5CDD505-2E9C-101B-9397-08002B2CF9AE}" pid="9" name="ContentTypeId">
    <vt:lpwstr>0x010100796C1432E7F83B4082F29BD7D81308F2</vt:lpwstr>
  </property>
</Properties>
</file>