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0CC6" w14:textId="77777777" w:rsidR="001B5623" w:rsidRPr="0049672F" w:rsidRDefault="001B5623" w:rsidP="001B5623">
      <w:pPr>
        <w:ind w:right="5"/>
        <w:jc w:val="both"/>
        <w:rPr>
          <w:rFonts w:ascii="Calibri" w:hAnsi="Calibri" w:cs="Calibri"/>
          <w:b/>
          <w:bCs/>
          <w:color w:val="243587"/>
          <w:sz w:val="28"/>
          <w:szCs w:val="28"/>
          <w:lang w:val="el-GR"/>
        </w:rPr>
      </w:pPr>
      <w:r>
        <w:rPr>
          <w:rFonts w:ascii="Calibri" w:hAnsi="Calibri" w:cs="Calibri"/>
          <w:b/>
          <w:bCs/>
          <w:color w:val="243587"/>
          <w:sz w:val="28"/>
          <w:szCs w:val="28"/>
          <w:lang w:val="el-GR"/>
        </w:rPr>
        <w:t>ΔΕΛΤΙΟ ΤΥΠΟΥ</w:t>
      </w:r>
    </w:p>
    <w:p w14:paraId="2792F939" w14:textId="77777777" w:rsidR="001B5623" w:rsidRDefault="001B5623" w:rsidP="001B5623">
      <w:pPr>
        <w:ind w:right="5"/>
        <w:jc w:val="both"/>
        <w:rPr>
          <w:rFonts w:ascii="Calibri" w:hAnsi="Calibri" w:cs="Calibri"/>
          <w:b/>
          <w:bCs/>
          <w:color w:val="243587"/>
          <w:sz w:val="28"/>
          <w:szCs w:val="28"/>
          <w:lang w:val="el-GR"/>
        </w:rPr>
      </w:pPr>
    </w:p>
    <w:p w14:paraId="4C6FCBC2" w14:textId="0E0FE37A" w:rsidR="001B5623" w:rsidRDefault="00C91667" w:rsidP="001B5623">
      <w:pPr>
        <w:ind w:right="5"/>
        <w:jc w:val="both"/>
        <w:rPr>
          <w:rFonts w:ascii="Calibri" w:hAnsi="Calibri" w:cs="Calibri"/>
          <w:b/>
          <w:bCs/>
          <w:color w:val="243587"/>
          <w:sz w:val="28"/>
          <w:szCs w:val="28"/>
          <w:lang w:val="el-GR"/>
        </w:rPr>
      </w:pPr>
      <w:r>
        <w:rPr>
          <w:rFonts w:ascii="Calibri" w:hAnsi="Calibri" w:cs="Calibri"/>
          <w:b/>
          <w:bCs/>
          <w:color w:val="243587"/>
          <w:sz w:val="28"/>
          <w:szCs w:val="28"/>
          <w:lang w:val="el-GR"/>
        </w:rPr>
        <w:t>Βασικά Μεγέθη</w:t>
      </w:r>
      <w:r w:rsidR="001B5623">
        <w:rPr>
          <w:rFonts w:ascii="Calibri" w:hAnsi="Calibri" w:cs="Calibri"/>
          <w:b/>
          <w:bCs/>
          <w:color w:val="243587"/>
          <w:sz w:val="28"/>
          <w:szCs w:val="28"/>
          <w:lang w:val="el-GR"/>
        </w:rPr>
        <w:t xml:space="preserve"> Πρώτου Τριμήνου 2023</w:t>
      </w:r>
    </w:p>
    <w:p w14:paraId="77E8B953" w14:textId="77777777" w:rsidR="001B5623" w:rsidRDefault="001B5623" w:rsidP="001B5623">
      <w:pPr>
        <w:ind w:right="5"/>
        <w:jc w:val="both"/>
        <w:rPr>
          <w:rFonts w:ascii="Calibri" w:hAnsi="Calibri" w:cs="Calibri"/>
          <w:b/>
          <w:bCs/>
          <w:color w:val="243587"/>
          <w:sz w:val="28"/>
          <w:szCs w:val="28"/>
          <w:lang w:val="el-GR"/>
        </w:rPr>
      </w:pPr>
    </w:p>
    <w:p w14:paraId="361A9BEA" w14:textId="7CFF44FC" w:rsidR="001B5623" w:rsidRDefault="001B5623" w:rsidP="001B5623">
      <w:pPr>
        <w:ind w:right="5"/>
        <w:jc w:val="both"/>
        <w:rPr>
          <w:rFonts w:ascii="Calibri" w:hAnsi="Calibri" w:cs="Calibri"/>
          <w:b/>
          <w:bCs/>
          <w:color w:val="243587"/>
          <w:sz w:val="28"/>
          <w:szCs w:val="28"/>
          <w:lang w:val="el-GR"/>
        </w:rPr>
      </w:pPr>
      <w:r>
        <w:rPr>
          <w:rFonts w:ascii="Calibri" w:hAnsi="Calibri" w:cs="Calibri"/>
          <w:b/>
          <w:bCs/>
          <w:color w:val="243587"/>
          <w:sz w:val="28"/>
          <w:szCs w:val="28"/>
          <w:lang w:val="el-GR"/>
        </w:rPr>
        <w:t xml:space="preserve">Αύξηση 90% στον Κύκλο Εργασιών, για πρώτη φορά θετικό </w:t>
      </w:r>
      <w:r>
        <w:rPr>
          <w:rFonts w:ascii="Calibri" w:hAnsi="Calibri" w:cs="Calibri"/>
          <w:b/>
          <w:bCs/>
          <w:color w:val="243587"/>
          <w:sz w:val="28"/>
          <w:szCs w:val="28"/>
          <w:lang w:val="en-US"/>
        </w:rPr>
        <w:t>EBITDA</w:t>
      </w:r>
      <w:r>
        <w:rPr>
          <w:rFonts w:ascii="Calibri" w:hAnsi="Calibri" w:cs="Calibri"/>
          <w:b/>
          <w:bCs/>
          <w:color w:val="243587"/>
          <w:sz w:val="28"/>
          <w:szCs w:val="28"/>
          <w:lang w:val="el-GR"/>
        </w:rPr>
        <w:t xml:space="preserve"> στο εποχικά ασθενέστερο πρώτο τρίμηνο του έτους</w:t>
      </w:r>
      <w:r>
        <w:rPr>
          <w:rFonts w:cstheme="minorHAnsi"/>
          <w:b/>
          <w:color w:val="243587"/>
          <w:sz w:val="28"/>
          <w:szCs w:val="28"/>
          <w:lang w:val="el-GR"/>
        </w:rPr>
        <w:t xml:space="preserve"> και σημαντική μείωση ζημιών</w:t>
      </w:r>
      <w:r w:rsidR="003408B5" w:rsidRPr="003408B5">
        <w:rPr>
          <w:rFonts w:cstheme="minorHAnsi"/>
          <w:b/>
          <w:color w:val="243587"/>
          <w:sz w:val="28"/>
          <w:szCs w:val="28"/>
          <w:lang w:val="el-GR"/>
        </w:rPr>
        <w:t xml:space="preserve"> </w:t>
      </w:r>
      <w:r w:rsidR="003408B5">
        <w:rPr>
          <w:rFonts w:cstheme="minorHAnsi"/>
          <w:b/>
          <w:color w:val="243587"/>
          <w:sz w:val="28"/>
          <w:szCs w:val="28"/>
          <w:lang w:val="el-GR"/>
        </w:rPr>
        <w:t>μετά από φόρους</w:t>
      </w:r>
      <w:r>
        <w:rPr>
          <w:rFonts w:cstheme="minorHAnsi"/>
          <w:b/>
          <w:color w:val="243587"/>
          <w:sz w:val="28"/>
          <w:szCs w:val="28"/>
          <w:lang w:val="el-GR"/>
        </w:rPr>
        <w:t xml:space="preserve"> </w:t>
      </w:r>
    </w:p>
    <w:p w14:paraId="35DC361A" w14:textId="77777777" w:rsidR="001B5623" w:rsidRDefault="001B5623" w:rsidP="001B5623">
      <w:pPr>
        <w:ind w:right="5"/>
        <w:jc w:val="both"/>
        <w:rPr>
          <w:rFonts w:cstheme="minorHAnsi"/>
          <w:b/>
          <w:color w:val="243587"/>
          <w:sz w:val="28"/>
          <w:szCs w:val="28"/>
          <w:lang w:val="el-GR"/>
        </w:rPr>
      </w:pPr>
    </w:p>
    <w:p w14:paraId="5C1451F8" w14:textId="77777777" w:rsidR="001B5623" w:rsidRDefault="001B5623" w:rsidP="001B5623">
      <w:pPr>
        <w:ind w:right="5"/>
        <w:jc w:val="both"/>
        <w:rPr>
          <w:rFonts w:cstheme="minorHAnsi"/>
          <w:b/>
          <w:bCs/>
          <w:color w:val="243587"/>
          <w:lang w:val="el-GR"/>
        </w:rPr>
      </w:pPr>
    </w:p>
    <w:p w14:paraId="12997EB9" w14:textId="25204687" w:rsidR="001B5623" w:rsidRDefault="001B5623" w:rsidP="001B5623">
      <w:pPr>
        <w:pStyle w:val="ListParagraph"/>
        <w:numPr>
          <w:ilvl w:val="0"/>
          <w:numId w:val="2"/>
        </w:numPr>
        <w:ind w:right="5"/>
        <w:jc w:val="both"/>
        <w:rPr>
          <w:rFonts w:cstheme="minorHAnsi"/>
          <w:color w:val="243587"/>
          <w:sz w:val="22"/>
          <w:szCs w:val="22"/>
          <w:lang w:val="el-GR"/>
        </w:rPr>
      </w:pPr>
      <w:r>
        <w:rPr>
          <w:rFonts w:cstheme="minorHAnsi"/>
          <w:color w:val="243587"/>
          <w:sz w:val="22"/>
          <w:szCs w:val="22"/>
          <w:lang w:val="el-GR"/>
        </w:rPr>
        <w:t>€229,1 εκατ. Κύκλος Εργασιών</w:t>
      </w:r>
      <w:r w:rsidR="002936ED" w:rsidRPr="002936ED">
        <w:rPr>
          <w:rFonts w:cstheme="minorHAnsi"/>
          <w:color w:val="243587"/>
          <w:sz w:val="22"/>
          <w:szCs w:val="22"/>
          <w:lang w:val="el-GR"/>
        </w:rPr>
        <w:t>,</w:t>
      </w:r>
      <w:r>
        <w:rPr>
          <w:rFonts w:cstheme="minorHAnsi"/>
          <w:color w:val="243587"/>
          <w:sz w:val="22"/>
          <w:szCs w:val="22"/>
          <w:lang w:val="el-GR"/>
        </w:rPr>
        <w:t xml:space="preserve"> 90% υψηλότερος σε σχέση με το 2022 και 33% υψηλότερος από το πρώτο τρίμηνο του 2019.</w:t>
      </w:r>
    </w:p>
    <w:p w14:paraId="259F3AB4" w14:textId="60EBF6BB" w:rsidR="001B5623" w:rsidRDefault="001B5623" w:rsidP="001B5623">
      <w:pPr>
        <w:pStyle w:val="ListParagraph"/>
        <w:numPr>
          <w:ilvl w:val="0"/>
          <w:numId w:val="2"/>
        </w:numPr>
        <w:ind w:right="5"/>
        <w:jc w:val="both"/>
        <w:rPr>
          <w:rFonts w:cstheme="minorHAnsi"/>
          <w:color w:val="243587"/>
          <w:sz w:val="22"/>
          <w:szCs w:val="22"/>
          <w:lang w:val="el-GR"/>
        </w:rPr>
      </w:pPr>
      <w:r>
        <w:rPr>
          <w:rFonts w:cstheme="minorHAnsi"/>
          <w:color w:val="243587"/>
          <w:sz w:val="22"/>
          <w:szCs w:val="22"/>
          <w:lang w:val="el-GR"/>
        </w:rPr>
        <w:t xml:space="preserve">2,6 εκατ. επιβάτες, 72% περισσότεροι </w:t>
      </w:r>
      <w:r w:rsidR="003408B5">
        <w:rPr>
          <w:rFonts w:cstheme="minorHAnsi"/>
          <w:color w:val="243587"/>
          <w:sz w:val="22"/>
          <w:szCs w:val="22"/>
          <w:lang w:val="el-GR"/>
        </w:rPr>
        <w:t>από</w:t>
      </w:r>
      <w:r>
        <w:rPr>
          <w:rFonts w:cstheme="minorHAnsi"/>
          <w:color w:val="243587"/>
          <w:sz w:val="22"/>
          <w:szCs w:val="22"/>
          <w:lang w:val="el-GR"/>
        </w:rPr>
        <w:t xml:space="preserve"> το πρώτο τρίμηνο του 2022</w:t>
      </w:r>
      <w:r w:rsidR="003408B5">
        <w:rPr>
          <w:rFonts w:cstheme="minorHAnsi"/>
          <w:color w:val="243587"/>
          <w:sz w:val="22"/>
          <w:szCs w:val="22"/>
          <w:lang w:val="el-GR"/>
        </w:rPr>
        <w:t>, 98% περισσότεροι επιβάτες εξωτερικού.</w:t>
      </w:r>
      <w:r>
        <w:rPr>
          <w:rFonts w:cstheme="minorHAnsi"/>
          <w:color w:val="243587"/>
          <w:sz w:val="22"/>
          <w:szCs w:val="22"/>
          <w:lang w:val="el-GR"/>
        </w:rPr>
        <w:t xml:space="preserve"> </w:t>
      </w:r>
    </w:p>
    <w:p w14:paraId="689BC768" w14:textId="2AD0FE51" w:rsidR="001B5623" w:rsidRDefault="001B5623" w:rsidP="001B5623">
      <w:pPr>
        <w:pStyle w:val="ListParagraph"/>
        <w:numPr>
          <w:ilvl w:val="0"/>
          <w:numId w:val="2"/>
        </w:numPr>
        <w:ind w:right="5"/>
        <w:rPr>
          <w:rFonts w:cstheme="minorHAnsi"/>
          <w:color w:val="243587"/>
          <w:sz w:val="22"/>
          <w:szCs w:val="22"/>
          <w:lang w:val="el-GR"/>
        </w:rPr>
      </w:pPr>
      <w:r>
        <w:rPr>
          <w:rFonts w:cstheme="minorHAnsi"/>
          <w:color w:val="243587"/>
          <w:sz w:val="22"/>
          <w:szCs w:val="22"/>
          <w:lang w:val="en-US"/>
        </w:rPr>
        <w:t>EBITDA</w:t>
      </w:r>
      <w:r w:rsidR="00667820" w:rsidRPr="00667820">
        <w:rPr>
          <w:rFonts w:cstheme="minorHAnsi"/>
          <w:color w:val="243587"/>
          <w:sz w:val="22"/>
          <w:szCs w:val="22"/>
          <w:lang w:val="el-GR"/>
        </w:rPr>
        <w:t xml:space="preserve"> </w:t>
      </w:r>
      <w:r w:rsidR="00667820">
        <w:rPr>
          <w:rFonts w:cstheme="minorHAnsi"/>
          <w:color w:val="243587"/>
          <w:sz w:val="22"/>
          <w:szCs w:val="22"/>
          <w:lang w:val="el-GR"/>
        </w:rPr>
        <w:t>κέρδη</w:t>
      </w:r>
      <w:r>
        <w:rPr>
          <w:rFonts w:cstheme="minorHAnsi"/>
          <w:color w:val="243587"/>
          <w:sz w:val="22"/>
          <w:szCs w:val="22"/>
          <w:lang w:val="el-GR"/>
        </w:rPr>
        <w:t xml:space="preserve"> €19,3 εκατ. από ζημίες €16,1 εκατ. την αντίστοιχη περίοδο του 2022</w:t>
      </w:r>
      <w:r w:rsidR="006761CD" w:rsidRPr="006761CD">
        <w:rPr>
          <w:rFonts w:cstheme="minorHAnsi"/>
          <w:color w:val="243587"/>
          <w:sz w:val="22"/>
          <w:szCs w:val="22"/>
          <w:lang w:val="el-GR"/>
        </w:rPr>
        <w:t>.</w:t>
      </w:r>
    </w:p>
    <w:p w14:paraId="3B3DCD94" w14:textId="77777777" w:rsidR="001B5623" w:rsidRDefault="001B5623" w:rsidP="001B5623">
      <w:pPr>
        <w:pStyle w:val="ListParagraph"/>
        <w:numPr>
          <w:ilvl w:val="0"/>
          <w:numId w:val="2"/>
        </w:numPr>
        <w:ind w:right="5"/>
        <w:jc w:val="both"/>
        <w:rPr>
          <w:rFonts w:cstheme="minorHAnsi"/>
          <w:b/>
          <w:bCs/>
          <w:color w:val="243587"/>
          <w:sz w:val="22"/>
          <w:szCs w:val="22"/>
          <w:lang w:val="el-GR"/>
        </w:rPr>
      </w:pPr>
      <w:bookmarkStart w:id="0" w:name="_Hlk129525246"/>
      <w:r>
        <w:rPr>
          <w:rFonts w:cstheme="minorHAnsi"/>
          <w:color w:val="243587"/>
          <w:sz w:val="22"/>
          <w:szCs w:val="22"/>
          <w:lang w:val="el-GR"/>
        </w:rPr>
        <w:t>€</w:t>
      </w:r>
      <w:bookmarkEnd w:id="0"/>
      <w:r>
        <w:rPr>
          <w:rFonts w:cstheme="minorHAnsi"/>
          <w:color w:val="243587"/>
          <w:sz w:val="22"/>
          <w:szCs w:val="22"/>
          <w:lang w:val="el-GR"/>
        </w:rPr>
        <w:t>14,4 εκατ. Ζημίες μετά από Φόρους, από Ζημίες €38,5 εκατ. το πρώτο τρίμηνο του 2022.</w:t>
      </w:r>
    </w:p>
    <w:p w14:paraId="4D0476B7" w14:textId="77777777" w:rsidR="001B5623" w:rsidRDefault="001B5623" w:rsidP="001B5623">
      <w:pPr>
        <w:ind w:left="142" w:right="5"/>
        <w:jc w:val="both"/>
        <w:rPr>
          <w:rFonts w:cstheme="minorHAnsi"/>
          <w:b/>
          <w:bCs/>
          <w:color w:val="243587"/>
          <w:sz w:val="22"/>
          <w:szCs w:val="22"/>
          <w:lang w:val="el-GR"/>
        </w:rPr>
      </w:pPr>
    </w:p>
    <w:p w14:paraId="3F4B1D0D" w14:textId="77777777" w:rsidR="001B5623" w:rsidRDefault="001B5623" w:rsidP="001B5623">
      <w:pPr>
        <w:ind w:left="142" w:right="5"/>
        <w:jc w:val="both"/>
        <w:rPr>
          <w:rFonts w:cstheme="minorHAnsi"/>
          <w:b/>
          <w:bCs/>
          <w:color w:val="243587"/>
          <w:sz w:val="22"/>
          <w:szCs w:val="22"/>
          <w:lang w:val="el-GR"/>
        </w:rPr>
      </w:pPr>
      <w:r>
        <w:rPr>
          <w:rFonts w:cstheme="minorHAnsi"/>
          <w:b/>
          <w:bCs/>
          <w:color w:val="243587"/>
          <w:sz w:val="22"/>
          <w:szCs w:val="22"/>
          <w:lang w:val="el-GR"/>
        </w:rPr>
        <w:t xml:space="preserve"> </w:t>
      </w:r>
    </w:p>
    <w:p w14:paraId="3FA65C01" w14:textId="77777777" w:rsidR="001B5623" w:rsidRDefault="001B5623" w:rsidP="001B5623">
      <w:pPr>
        <w:ind w:right="5"/>
        <w:jc w:val="both"/>
        <w:rPr>
          <w:rFonts w:cstheme="minorHAnsi"/>
          <w:color w:val="243587"/>
          <w:sz w:val="22"/>
          <w:szCs w:val="22"/>
          <w:lang w:val="el-GR"/>
        </w:rPr>
      </w:pPr>
      <w:r>
        <w:rPr>
          <w:rFonts w:cstheme="minorHAnsi"/>
          <w:color w:val="243587"/>
          <w:sz w:val="22"/>
          <w:szCs w:val="22"/>
          <w:lang w:val="el-GR"/>
        </w:rPr>
        <w:t>Αθήνα, 16 Μαΐου 2023</w:t>
      </w:r>
    </w:p>
    <w:p w14:paraId="6C247BDC" w14:textId="77777777" w:rsidR="001B5623" w:rsidRDefault="001B5623" w:rsidP="001B5623">
      <w:pPr>
        <w:ind w:right="5"/>
        <w:jc w:val="both"/>
        <w:rPr>
          <w:rFonts w:ascii="Calibri" w:hAnsi="Calibri" w:cs="Calibri"/>
          <w:b/>
          <w:bCs/>
          <w:color w:val="243587"/>
          <w:sz w:val="28"/>
          <w:szCs w:val="28"/>
          <w:lang w:val="el-GR"/>
        </w:rPr>
      </w:pPr>
    </w:p>
    <w:p w14:paraId="4EB09D88" w14:textId="55AE4415" w:rsidR="001B5623" w:rsidRDefault="001B5623" w:rsidP="001B5623">
      <w:pPr>
        <w:spacing w:after="240" w:line="276" w:lineRule="auto"/>
        <w:ind w:right="5"/>
        <w:jc w:val="both"/>
        <w:rPr>
          <w:rFonts w:cstheme="minorHAnsi"/>
          <w:color w:val="243587"/>
          <w:sz w:val="22"/>
          <w:szCs w:val="22"/>
          <w:lang w:val="el-GR"/>
        </w:rPr>
      </w:pPr>
      <w:r>
        <w:rPr>
          <w:rFonts w:cstheme="minorHAnsi"/>
          <w:color w:val="243587"/>
          <w:sz w:val="22"/>
          <w:szCs w:val="22"/>
          <w:lang w:val="el-GR"/>
        </w:rPr>
        <w:t xml:space="preserve">Η AEGEAN ανακοινώνει τα βασικά οικονομικά και λειτουργικά αποτελέσματα του πρώτου τριμήνου 2023, καταγράφοντας σημαντική βελτίωση μεγεθών. Συγκεκριμένα, ο ενοποιημένος κύκλος εργασιών παρουσιάζεται αυξημένος κατά 90% σε σχέση με το πρώτο τρίμηνο του 2022 αλλά και κατά 33% σε σχέση με το προ πανδημίας πρώτο τρίμηνο του 2019, φτάνοντας τα €229,1 εκατ. </w:t>
      </w:r>
    </w:p>
    <w:p w14:paraId="689858EC" w14:textId="623E79F7" w:rsidR="001B5623" w:rsidRDefault="001B5623" w:rsidP="001B5623">
      <w:pPr>
        <w:spacing w:after="240" w:line="276" w:lineRule="auto"/>
        <w:ind w:right="5"/>
        <w:jc w:val="both"/>
        <w:rPr>
          <w:rFonts w:cstheme="minorHAnsi"/>
          <w:color w:val="243587"/>
          <w:sz w:val="22"/>
          <w:szCs w:val="22"/>
          <w:lang w:val="el-GR"/>
        </w:rPr>
      </w:pPr>
      <w:r>
        <w:rPr>
          <w:rFonts w:cstheme="minorHAnsi"/>
          <w:color w:val="243587"/>
          <w:sz w:val="22"/>
          <w:szCs w:val="22"/>
          <w:lang w:val="el-GR"/>
        </w:rPr>
        <w:t>Η επιβατική κίνηση εμφάνισε ισχυρή δυναμική, παρά το παραδοσιακά εποχικά ασθενές πρώτο τρίμηνο του έτους</w:t>
      </w:r>
      <w:r w:rsidR="002936ED" w:rsidRPr="002936ED">
        <w:rPr>
          <w:rFonts w:cstheme="minorHAnsi"/>
          <w:color w:val="243587"/>
          <w:sz w:val="22"/>
          <w:szCs w:val="22"/>
          <w:lang w:val="el-GR"/>
        </w:rPr>
        <w:t>,</w:t>
      </w:r>
      <w:r>
        <w:rPr>
          <w:rFonts w:cstheme="minorHAnsi"/>
          <w:color w:val="243587"/>
          <w:sz w:val="22"/>
          <w:szCs w:val="22"/>
          <w:lang w:val="el-GR"/>
        </w:rPr>
        <w:t xml:space="preserve"> συνεχίζοντας τη δυναμική του προηγούμενου έτους και καταγράφοντας αύξηση 72% από την αντίστοιχη περσ</w:t>
      </w:r>
      <w:r w:rsidR="00D36555">
        <w:rPr>
          <w:rFonts w:cstheme="minorHAnsi"/>
          <w:color w:val="243587"/>
          <w:sz w:val="22"/>
          <w:szCs w:val="22"/>
          <w:lang w:val="el-GR"/>
        </w:rPr>
        <w:t>ι</w:t>
      </w:r>
      <w:r>
        <w:rPr>
          <w:rFonts w:cstheme="minorHAnsi"/>
          <w:color w:val="243587"/>
          <w:sz w:val="22"/>
          <w:szCs w:val="22"/>
          <w:lang w:val="el-GR"/>
        </w:rPr>
        <w:t>νή περίοδο. Συνολικά</w:t>
      </w:r>
      <w:r w:rsidR="00273622">
        <w:rPr>
          <w:rFonts w:cstheme="minorHAnsi"/>
          <w:color w:val="243587"/>
          <w:sz w:val="22"/>
          <w:szCs w:val="22"/>
          <w:lang w:val="el-GR"/>
        </w:rPr>
        <w:t>,</w:t>
      </w:r>
      <w:r>
        <w:rPr>
          <w:rFonts w:cstheme="minorHAnsi"/>
          <w:color w:val="243587"/>
          <w:sz w:val="22"/>
          <w:szCs w:val="22"/>
          <w:lang w:val="el-GR"/>
        </w:rPr>
        <w:t xml:space="preserve"> ο Όμιλος προσέφερε 3,2 εκατ. θέσεις και μετέφερε 2,</w:t>
      </w:r>
      <w:r w:rsidR="00F403BC" w:rsidRPr="00E22C49">
        <w:rPr>
          <w:rFonts w:cstheme="minorHAnsi"/>
          <w:color w:val="243587"/>
          <w:sz w:val="22"/>
          <w:szCs w:val="22"/>
          <w:lang w:val="el-GR"/>
        </w:rPr>
        <w:t>6</w:t>
      </w:r>
      <w:r>
        <w:rPr>
          <w:rFonts w:cstheme="minorHAnsi"/>
          <w:color w:val="243587"/>
          <w:sz w:val="22"/>
          <w:szCs w:val="22"/>
          <w:lang w:val="el-GR"/>
        </w:rPr>
        <w:t xml:space="preserve"> εκατ. επιβάτες, εκ των οποίων 1,6 εκατ. επιβάτες από/προς προορισμούς του εξωτερικού. Ο συντελεστής πληρότητας διαμορφώθηκε στο 82%, βελτιωμένος κατά 15,5 ποσοστιαίες μονάδες από το πρώτο τρίμηνο του 2022.</w:t>
      </w:r>
    </w:p>
    <w:p w14:paraId="379852DE" w14:textId="7EC5218E" w:rsidR="001B5623" w:rsidRDefault="001B5623" w:rsidP="001B5623">
      <w:pPr>
        <w:spacing w:after="240" w:line="276" w:lineRule="auto"/>
        <w:ind w:right="5"/>
        <w:jc w:val="both"/>
        <w:rPr>
          <w:rFonts w:cstheme="minorHAnsi"/>
          <w:color w:val="243587"/>
          <w:sz w:val="22"/>
          <w:szCs w:val="22"/>
          <w:lang w:val="el-GR"/>
        </w:rPr>
      </w:pPr>
      <w:r>
        <w:rPr>
          <w:rFonts w:cstheme="minorHAnsi"/>
          <w:color w:val="243587"/>
          <w:sz w:val="22"/>
          <w:szCs w:val="22"/>
          <w:lang w:val="el-GR"/>
        </w:rPr>
        <w:t xml:space="preserve">Η υψηλότερη χωρητικότητα που διατηρήθηκε τη χειμερινή περίοδο, η αυξημένη δυναμική της ζήτησης σε συνδυασμό με την προσφορά νέων υπηρεσιών καθώς και η εξελισσόμενη ωρίμανση της αναβάθμισης του στόλου συνέβαλλαν στην επίτευξη θετικού </w:t>
      </w:r>
      <w:r>
        <w:rPr>
          <w:rFonts w:cstheme="minorHAnsi"/>
          <w:color w:val="243587"/>
          <w:sz w:val="22"/>
          <w:szCs w:val="22"/>
          <w:lang w:val="en-US"/>
        </w:rPr>
        <w:t>EBITDA</w:t>
      </w:r>
      <w:r>
        <w:rPr>
          <w:rFonts w:cstheme="minorHAnsi"/>
          <w:color w:val="243587"/>
          <w:sz w:val="22"/>
          <w:szCs w:val="22"/>
          <w:lang w:val="el-GR"/>
        </w:rPr>
        <w:t xml:space="preserve"> στο εποχικά ασθενέστερο πρώτο τρίμηνο</w:t>
      </w:r>
      <w:r w:rsidR="000D7544" w:rsidRPr="000D7544">
        <w:rPr>
          <w:rFonts w:cstheme="minorHAnsi"/>
          <w:color w:val="243587"/>
          <w:sz w:val="22"/>
          <w:szCs w:val="22"/>
          <w:lang w:val="el-GR"/>
        </w:rPr>
        <w:t>,</w:t>
      </w:r>
      <w:r>
        <w:rPr>
          <w:rFonts w:cstheme="minorHAnsi"/>
          <w:color w:val="243587"/>
          <w:sz w:val="22"/>
          <w:szCs w:val="22"/>
          <w:lang w:val="el-GR"/>
        </w:rPr>
        <w:t xml:space="preserve"> ήτοι κέρδη €19,3 εκατ. από ζημίες €16,1 εκατ. την αντίστοιχη περίοδο του 2022 αλλά και ζημίες €8,5 </w:t>
      </w:r>
      <w:r w:rsidR="00DA2500">
        <w:rPr>
          <w:rFonts w:cstheme="minorHAnsi"/>
          <w:color w:val="243587"/>
          <w:sz w:val="22"/>
          <w:szCs w:val="22"/>
          <w:lang w:val="el-GR"/>
        </w:rPr>
        <w:t xml:space="preserve">εκατ. </w:t>
      </w:r>
      <w:r>
        <w:rPr>
          <w:rFonts w:cstheme="minorHAnsi"/>
          <w:color w:val="243587"/>
          <w:sz w:val="22"/>
          <w:szCs w:val="22"/>
          <w:lang w:val="el-GR"/>
        </w:rPr>
        <w:t>το πρώτο τρίμηνο του 2019.</w:t>
      </w:r>
    </w:p>
    <w:p w14:paraId="69AFCF29" w14:textId="12B15D15" w:rsidR="001B5623" w:rsidRDefault="001B5623" w:rsidP="001B5623">
      <w:pPr>
        <w:spacing w:after="240"/>
        <w:jc w:val="both"/>
        <w:rPr>
          <w:rFonts w:cstheme="minorHAnsi"/>
          <w:color w:val="243587"/>
          <w:sz w:val="22"/>
          <w:szCs w:val="22"/>
          <w:lang w:val="el-GR"/>
        </w:rPr>
      </w:pPr>
      <w:r>
        <w:rPr>
          <w:rFonts w:cstheme="minorHAnsi"/>
          <w:color w:val="243587"/>
          <w:sz w:val="22"/>
          <w:szCs w:val="22"/>
          <w:lang w:val="el-GR"/>
        </w:rPr>
        <w:t xml:space="preserve">Αντίστοιχα και οι </w:t>
      </w:r>
      <w:r w:rsidR="00D36555">
        <w:rPr>
          <w:rFonts w:cstheme="minorHAnsi"/>
          <w:color w:val="243587"/>
          <w:sz w:val="22"/>
          <w:szCs w:val="22"/>
          <w:lang w:val="el-GR"/>
        </w:rPr>
        <w:t>ζ</w:t>
      </w:r>
      <w:r>
        <w:rPr>
          <w:rFonts w:cstheme="minorHAnsi"/>
          <w:color w:val="243587"/>
          <w:sz w:val="22"/>
          <w:szCs w:val="22"/>
          <w:lang w:val="el-GR"/>
        </w:rPr>
        <w:t>ημίες μετά από φόρους μειώθηκαν σε €14,4 εκατ. από ζημίες €38,5 εκατ. το πρώτο τρίμηνο του 2022 και ζημίες €35,2 εκατ. το πρώτο τρίμηνο του 2019.</w:t>
      </w:r>
    </w:p>
    <w:p w14:paraId="18AB40CC" w14:textId="3433E57C" w:rsidR="001B5623" w:rsidRDefault="001B5623" w:rsidP="001B5623">
      <w:pPr>
        <w:spacing w:after="240"/>
        <w:jc w:val="both"/>
        <w:rPr>
          <w:rFonts w:cstheme="minorHAnsi"/>
          <w:color w:val="243587"/>
          <w:sz w:val="22"/>
          <w:szCs w:val="22"/>
          <w:lang w:val="el-GR"/>
        </w:rPr>
      </w:pPr>
      <w:r>
        <w:rPr>
          <w:rFonts w:cstheme="minorHAnsi"/>
          <w:color w:val="243587"/>
          <w:sz w:val="22"/>
          <w:szCs w:val="22"/>
          <w:lang w:val="el-GR"/>
        </w:rPr>
        <w:t xml:space="preserve">Κατά το πρώτο τρίμηνο 2023 ο Όμιλος της </w:t>
      </w:r>
      <w:r>
        <w:rPr>
          <w:rFonts w:cstheme="minorHAnsi"/>
          <w:color w:val="243587"/>
          <w:sz w:val="22"/>
          <w:szCs w:val="22"/>
          <w:lang w:val="en-US"/>
        </w:rPr>
        <w:t>AEGEAN</w:t>
      </w:r>
      <w:r>
        <w:rPr>
          <w:rFonts w:cstheme="minorHAnsi"/>
          <w:color w:val="243587"/>
          <w:sz w:val="22"/>
          <w:szCs w:val="22"/>
          <w:lang w:val="el-GR"/>
        </w:rPr>
        <w:t xml:space="preserve"> εμφάνισε ισχυρές καθαρές ταμειακές ροές</w:t>
      </w:r>
      <w:r w:rsidR="003408B5">
        <w:rPr>
          <w:rFonts w:cstheme="minorHAnsi"/>
          <w:color w:val="243587"/>
          <w:sz w:val="22"/>
          <w:szCs w:val="22"/>
          <w:lang w:val="el-GR"/>
        </w:rPr>
        <w:t xml:space="preserve"> €138,6 εκατ.</w:t>
      </w:r>
      <w:r>
        <w:rPr>
          <w:rFonts w:cstheme="minorHAnsi"/>
          <w:color w:val="243587"/>
          <w:sz w:val="22"/>
          <w:szCs w:val="22"/>
          <w:lang w:val="el-GR"/>
        </w:rPr>
        <w:t>, απόρροια</w:t>
      </w:r>
      <w:r w:rsidR="003408B5">
        <w:rPr>
          <w:rFonts w:cstheme="minorHAnsi"/>
          <w:color w:val="243587"/>
          <w:sz w:val="22"/>
          <w:szCs w:val="22"/>
          <w:lang w:val="el-GR"/>
        </w:rPr>
        <w:t xml:space="preserve"> και</w:t>
      </w:r>
      <w:r>
        <w:rPr>
          <w:rFonts w:cstheme="minorHAnsi"/>
          <w:color w:val="243587"/>
          <w:sz w:val="22"/>
          <w:szCs w:val="22"/>
          <w:lang w:val="el-GR"/>
        </w:rPr>
        <w:t xml:space="preserve"> των υψηλών επιπέδων προ-</w:t>
      </w:r>
      <w:r w:rsidR="003408B5">
        <w:rPr>
          <w:rFonts w:cstheme="minorHAnsi"/>
          <w:color w:val="243587"/>
          <w:sz w:val="22"/>
          <w:szCs w:val="22"/>
          <w:lang w:val="el-GR"/>
        </w:rPr>
        <w:t>πωλήσεων</w:t>
      </w:r>
      <w:r>
        <w:rPr>
          <w:rFonts w:cstheme="minorHAnsi"/>
          <w:color w:val="243587"/>
          <w:sz w:val="22"/>
          <w:szCs w:val="22"/>
          <w:lang w:val="el-GR"/>
        </w:rPr>
        <w:t xml:space="preserve"> για τη θερινή περίοδο, με αποτέλεσμα τα ταμειακά </w:t>
      </w:r>
      <w:r>
        <w:rPr>
          <w:rFonts w:cstheme="minorHAnsi"/>
          <w:color w:val="243587"/>
          <w:sz w:val="22"/>
          <w:szCs w:val="22"/>
          <w:lang w:val="el-GR"/>
        </w:rPr>
        <w:lastRenderedPageBreak/>
        <w:t>διαθέσιμα, ισοδύναμα και λοιπές χρηματοοικονομικές επενδύσεις να διαμορφωθούν σε €591,1 εκατ.</w:t>
      </w:r>
      <w:r>
        <w:rPr>
          <w:rFonts w:cstheme="minorHAnsi"/>
          <w:color w:val="243587"/>
          <w:sz w:val="22"/>
          <w:szCs w:val="22"/>
          <w:vertAlign w:val="superscript"/>
          <w:lang w:val="el-GR"/>
        </w:rPr>
        <w:footnoteReference w:id="1"/>
      </w:r>
      <w:r>
        <w:rPr>
          <w:rFonts w:cstheme="minorHAnsi"/>
          <w:color w:val="243587"/>
          <w:sz w:val="22"/>
          <w:szCs w:val="22"/>
          <w:lang w:val="el-GR"/>
        </w:rPr>
        <w:t xml:space="preserve"> την 31.03.2023 από 527,9 εκατ.</w:t>
      </w:r>
      <w:r w:rsidR="006D5ED0" w:rsidRPr="006D5ED0">
        <w:rPr>
          <w:rFonts w:cstheme="minorHAnsi"/>
          <w:color w:val="243587"/>
          <w:sz w:val="22"/>
          <w:szCs w:val="22"/>
          <w:vertAlign w:val="superscript"/>
          <w:lang w:val="el-GR"/>
        </w:rPr>
        <w:t xml:space="preserve"> </w:t>
      </w:r>
      <w:r w:rsidR="006D5ED0">
        <w:rPr>
          <w:rFonts w:cstheme="minorHAnsi"/>
          <w:color w:val="243587"/>
          <w:sz w:val="22"/>
          <w:szCs w:val="22"/>
          <w:vertAlign w:val="superscript"/>
          <w:lang w:val="el-GR"/>
        </w:rPr>
        <w:footnoteReference w:id="2"/>
      </w:r>
      <w:r w:rsidR="006D5ED0">
        <w:rPr>
          <w:rFonts w:cstheme="minorHAnsi"/>
          <w:color w:val="243587"/>
          <w:sz w:val="22"/>
          <w:szCs w:val="22"/>
          <w:lang w:val="el-GR"/>
        </w:rPr>
        <w:t xml:space="preserve"> </w:t>
      </w:r>
      <w:r>
        <w:rPr>
          <w:rFonts w:cstheme="minorHAnsi"/>
          <w:color w:val="243587"/>
          <w:sz w:val="22"/>
          <w:szCs w:val="22"/>
          <w:lang w:val="el-GR"/>
        </w:rPr>
        <w:t>στο τέλος του έτους μετά και την αποπληρωμή δανεισμού ύψους €68,5 εκατ.</w:t>
      </w:r>
    </w:p>
    <w:p w14:paraId="7CE190F9" w14:textId="77777777" w:rsidR="001B5623" w:rsidRDefault="001B5623" w:rsidP="001B5623">
      <w:pPr>
        <w:spacing w:after="240"/>
        <w:jc w:val="both"/>
        <w:rPr>
          <w:rFonts w:cstheme="minorHAnsi"/>
          <w:color w:val="243587"/>
          <w:sz w:val="22"/>
          <w:szCs w:val="22"/>
          <w:lang w:val="el-GR"/>
        </w:rPr>
      </w:pPr>
    </w:p>
    <w:p w14:paraId="74838981" w14:textId="77777777" w:rsidR="001B5623" w:rsidRDefault="001B5623" w:rsidP="001B5623">
      <w:pPr>
        <w:tabs>
          <w:tab w:val="left" w:pos="9498"/>
        </w:tabs>
        <w:spacing w:after="240" w:line="276" w:lineRule="auto"/>
        <w:ind w:right="2268"/>
        <w:jc w:val="both"/>
        <w:rPr>
          <w:rFonts w:cstheme="minorHAnsi"/>
          <w:b/>
          <w:bCs/>
          <w:color w:val="243587"/>
          <w:sz w:val="22"/>
          <w:szCs w:val="22"/>
          <w:lang w:val="el-GR"/>
        </w:rPr>
      </w:pPr>
      <w:r>
        <w:rPr>
          <w:rFonts w:cstheme="minorHAnsi"/>
          <w:b/>
          <w:bCs/>
          <w:color w:val="243587"/>
          <w:sz w:val="22"/>
          <w:szCs w:val="22"/>
          <w:lang w:val="el-GR"/>
        </w:rPr>
        <w:t xml:space="preserve">Ο κ. Δημήτρης </w:t>
      </w:r>
      <w:proofErr w:type="spellStart"/>
      <w:r>
        <w:rPr>
          <w:rFonts w:cstheme="minorHAnsi"/>
          <w:b/>
          <w:bCs/>
          <w:color w:val="243587"/>
          <w:sz w:val="22"/>
          <w:szCs w:val="22"/>
          <w:lang w:val="el-GR"/>
        </w:rPr>
        <w:t>Γερογιάννης</w:t>
      </w:r>
      <w:proofErr w:type="spellEnd"/>
      <w:r>
        <w:rPr>
          <w:rFonts w:cstheme="minorHAnsi"/>
          <w:b/>
          <w:bCs/>
          <w:color w:val="243587"/>
          <w:sz w:val="22"/>
          <w:szCs w:val="22"/>
          <w:lang w:val="el-GR"/>
        </w:rPr>
        <w:t>, Διευθύνων Σύμβουλος, ανέφερε σχετικά:</w:t>
      </w:r>
    </w:p>
    <w:p w14:paraId="753F0D2D" w14:textId="2099DFD8" w:rsidR="001B5623" w:rsidRDefault="001B5623" w:rsidP="001B5623">
      <w:pPr>
        <w:spacing w:after="240" w:line="276" w:lineRule="auto"/>
        <w:jc w:val="both"/>
        <w:rPr>
          <w:rFonts w:cstheme="minorHAnsi"/>
          <w:color w:val="243587"/>
          <w:sz w:val="22"/>
          <w:szCs w:val="22"/>
          <w:lang w:val="el-GR"/>
        </w:rPr>
      </w:pPr>
      <w:r>
        <w:rPr>
          <w:rFonts w:cstheme="minorHAnsi"/>
          <w:color w:val="243587"/>
          <w:sz w:val="22"/>
          <w:szCs w:val="22"/>
          <w:lang w:val="el-GR"/>
        </w:rPr>
        <w:t xml:space="preserve">«Είμαστε εξαιρετικά ικανοποιημένοι με το σημαντικά βελτιωμένο αποτέλεσμα του πρώτου τρίμηνου, που σηματοδοτεί, στην πιο αδύναμη περίοδο του έτους, τη δυναμική της ζήτησης αλλά και την ανταγωνιστικότητα της </w:t>
      </w:r>
      <w:r>
        <w:rPr>
          <w:rFonts w:cstheme="minorHAnsi"/>
          <w:color w:val="243587"/>
          <w:sz w:val="22"/>
          <w:szCs w:val="22"/>
          <w:lang w:val="en-US"/>
        </w:rPr>
        <w:t>A</w:t>
      </w:r>
      <w:r w:rsidR="00D36555">
        <w:rPr>
          <w:rFonts w:cstheme="minorHAnsi"/>
          <w:color w:val="243587"/>
          <w:sz w:val="22"/>
          <w:szCs w:val="22"/>
          <w:lang w:val="en-US"/>
        </w:rPr>
        <w:t>EGEAN</w:t>
      </w:r>
      <w:r>
        <w:rPr>
          <w:rFonts w:cstheme="minorHAnsi"/>
          <w:color w:val="243587"/>
          <w:sz w:val="22"/>
          <w:szCs w:val="22"/>
          <w:lang w:val="el-GR"/>
        </w:rPr>
        <w:t xml:space="preserve"> στο μετά πανδημίας περιβάλλον. Υποστηρίξαμε για άλλη μια φορά την επέκταση της τουριστικής περιόδου στην χώρα μας, μέσω της σημαντικής επένδυσης μας σε αύξηση της χωρητικότητας σε Αθήνα και Θεσσαλονίκη το πρώτο τρίμηνο του 2023, </w:t>
      </w:r>
      <w:r w:rsidR="000D7544">
        <w:rPr>
          <w:rFonts w:cstheme="minorHAnsi"/>
          <w:color w:val="243587"/>
          <w:sz w:val="22"/>
          <w:szCs w:val="22"/>
          <w:lang w:val="el-GR"/>
        </w:rPr>
        <w:t xml:space="preserve">συμβάλλοντας </w:t>
      </w:r>
      <w:r>
        <w:rPr>
          <w:rFonts w:cstheme="minorHAnsi"/>
          <w:color w:val="243587"/>
          <w:sz w:val="22"/>
          <w:szCs w:val="22"/>
          <w:lang w:val="el-GR"/>
        </w:rPr>
        <w:t xml:space="preserve">σε σημαντική αύξηση της κίνησης. </w:t>
      </w:r>
    </w:p>
    <w:p w14:paraId="0EE9662C" w14:textId="66A0652B" w:rsidR="001B5623" w:rsidRDefault="001B5623" w:rsidP="001B5623">
      <w:pPr>
        <w:spacing w:after="240" w:line="276" w:lineRule="auto"/>
        <w:jc w:val="both"/>
        <w:rPr>
          <w:rFonts w:cstheme="minorHAnsi"/>
          <w:color w:val="243587"/>
          <w:sz w:val="22"/>
          <w:szCs w:val="22"/>
          <w:lang w:val="el-GR"/>
        </w:rPr>
      </w:pPr>
      <w:r>
        <w:rPr>
          <w:rFonts w:cstheme="minorHAnsi"/>
          <w:color w:val="243587"/>
          <w:sz w:val="22"/>
          <w:szCs w:val="22"/>
          <w:lang w:val="el-GR"/>
        </w:rPr>
        <w:t xml:space="preserve">Εξακολουθούμε να βλέπουμε ισχυρή ζήτηση και κρατήσεις για </w:t>
      </w:r>
      <w:r w:rsidR="002737D1">
        <w:rPr>
          <w:rFonts w:cstheme="minorHAnsi"/>
          <w:color w:val="243587"/>
          <w:sz w:val="22"/>
          <w:szCs w:val="22"/>
          <w:lang w:val="el-GR"/>
        </w:rPr>
        <w:t xml:space="preserve">την </w:t>
      </w:r>
      <w:r>
        <w:rPr>
          <w:rFonts w:cstheme="minorHAnsi"/>
          <w:color w:val="243587"/>
          <w:sz w:val="22"/>
          <w:szCs w:val="22"/>
          <w:lang w:val="el-GR"/>
        </w:rPr>
        <w:t>καλοκα</w:t>
      </w:r>
      <w:r w:rsidR="002737D1">
        <w:rPr>
          <w:rFonts w:cstheme="minorHAnsi"/>
          <w:color w:val="243587"/>
          <w:sz w:val="22"/>
          <w:szCs w:val="22"/>
          <w:lang w:val="el-GR"/>
        </w:rPr>
        <w:t>ιρινή περίοδο</w:t>
      </w:r>
      <w:r>
        <w:rPr>
          <w:rFonts w:cstheme="minorHAnsi"/>
          <w:color w:val="243587"/>
          <w:sz w:val="22"/>
          <w:szCs w:val="22"/>
          <w:lang w:val="el-GR"/>
        </w:rPr>
        <w:t>, που όπως πάντα θα διαμορφώσει το αποτέλεσμα της χρονιάς. Παράλληλα</w:t>
      </w:r>
      <w:r w:rsidR="00273622">
        <w:rPr>
          <w:rFonts w:cstheme="minorHAnsi"/>
          <w:color w:val="243587"/>
          <w:sz w:val="22"/>
          <w:szCs w:val="22"/>
          <w:lang w:val="el-GR"/>
        </w:rPr>
        <w:t>,</w:t>
      </w:r>
      <w:r>
        <w:rPr>
          <w:rFonts w:cstheme="minorHAnsi"/>
          <w:color w:val="243587"/>
          <w:sz w:val="22"/>
          <w:szCs w:val="22"/>
          <w:lang w:val="el-GR"/>
        </w:rPr>
        <w:t xml:space="preserve"> ανοίγουμε νέους προορισμούς και παρουσιάζουμε κάθε μήνα νέα προϊόντα και στοχευμένες υπηρεσίες σε όλη την αλυσίδα του ταξιδιού, ώστε να δώσουμε στους επιβάτες μας τις δυνατότητες και τις επιλογές που βελτιώνουν την ταξιδιωτική τους εμπειρία και την σχέση τους με την </w:t>
      </w:r>
      <w:r>
        <w:rPr>
          <w:rFonts w:cstheme="minorHAnsi"/>
          <w:color w:val="243587"/>
          <w:sz w:val="22"/>
          <w:szCs w:val="22"/>
          <w:lang w:val="en-US"/>
        </w:rPr>
        <w:t>A</w:t>
      </w:r>
      <w:r w:rsidR="00D36555">
        <w:rPr>
          <w:rFonts w:cstheme="minorHAnsi"/>
          <w:color w:val="243587"/>
          <w:sz w:val="22"/>
          <w:szCs w:val="22"/>
          <w:lang w:val="en-US"/>
        </w:rPr>
        <w:t>EGEAN</w:t>
      </w:r>
      <w:r>
        <w:rPr>
          <w:rFonts w:cstheme="minorHAnsi"/>
          <w:color w:val="243587"/>
          <w:sz w:val="22"/>
          <w:szCs w:val="22"/>
          <w:lang w:val="el-GR"/>
        </w:rPr>
        <w:t>»</w:t>
      </w:r>
      <w:r w:rsidR="0077013B">
        <w:rPr>
          <w:rFonts w:cstheme="minorHAnsi"/>
          <w:color w:val="243587"/>
          <w:sz w:val="22"/>
          <w:szCs w:val="22"/>
          <w:lang w:val="el-GR"/>
        </w:rPr>
        <w:t>.</w:t>
      </w:r>
    </w:p>
    <w:p w14:paraId="2B014BFA" w14:textId="77777777" w:rsidR="001B5623" w:rsidRDefault="001B5623" w:rsidP="001B5623">
      <w:pPr>
        <w:spacing w:after="240" w:line="276" w:lineRule="auto"/>
        <w:jc w:val="both"/>
        <w:rPr>
          <w:color w:val="243587"/>
          <w:sz w:val="22"/>
          <w:szCs w:val="22"/>
          <w:lang w:val="el-GR"/>
        </w:rPr>
      </w:pPr>
      <w:r>
        <w:rPr>
          <w:color w:val="243587"/>
          <w:sz w:val="22"/>
          <w:szCs w:val="22"/>
          <w:lang w:val="el-GR"/>
        </w:rPr>
        <w:t>Η AEGEAN σχεδιάζει να επιχειρεί με 76 αεροπλάνα το 2023 και να προσφέρει συνολικά 18 εκατ. θέσεις, με 11 εκατ. θέσεις εξωτερικού, 2 εκατ. περισσότερες συγκριτικά με το 2022 και 800 χιλιάδες περισσότερες από το 2019. Το Δίκτυο θα καλύπτει 46 χώρες, με 264 δρομολόγια σε 161 προορισμούς από συνολικά 8 βάσεις.</w:t>
      </w:r>
    </w:p>
    <w:p w14:paraId="6BCC6CD1" w14:textId="523A1A51" w:rsidR="001B5623" w:rsidRDefault="001B5623" w:rsidP="001B5623">
      <w:pPr>
        <w:rPr>
          <w:rFonts w:cstheme="minorHAnsi"/>
          <w:b/>
          <w:bCs/>
          <w:color w:val="243587"/>
          <w:sz w:val="22"/>
          <w:szCs w:val="22"/>
          <w:lang w:val="el-GR"/>
        </w:rPr>
      </w:pPr>
    </w:p>
    <w:p w14:paraId="1A1068C0" w14:textId="028F40A1" w:rsidR="00273622" w:rsidRDefault="00273622" w:rsidP="001B5623">
      <w:pPr>
        <w:rPr>
          <w:rFonts w:cstheme="minorHAnsi"/>
          <w:b/>
          <w:bCs/>
          <w:color w:val="243587"/>
          <w:sz w:val="22"/>
          <w:szCs w:val="22"/>
          <w:lang w:val="el-GR"/>
        </w:rPr>
      </w:pPr>
    </w:p>
    <w:p w14:paraId="4CAF20C7" w14:textId="75894649" w:rsidR="00273622" w:rsidRDefault="00273622" w:rsidP="001B5623">
      <w:pPr>
        <w:rPr>
          <w:rFonts w:cstheme="minorHAnsi"/>
          <w:b/>
          <w:bCs/>
          <w:color w:val="243587"/>
          <w:sz w:val="22"/>
          <w:szCs w:val="22"/>
          <w:lang w:val="el-GR"/>
        </w:rPr>
      </w:pPr>
    </w:p>
    <w:p w14:paraId="2E5A671D" w14:textId="5D32A278" w:rsidR="00273622" w:rsidRDefault="00273622" w:rsidP="001B5623">
      <w:pPr>
        <w:rPr>
          <w:rFonts w:cstheme="minorHAnsi"/>
          <w:b/>
          <w:bCs/>
          <w:color w:val="243587"/>
          <w:sz w:val="22"/>
          <w:szCs w:val="22"/>
          <w:lang w:val="el-GR"/>
        </w:rPr>
      </w:pPr>
    </w:p>
    <w:p w14:paraId="7A8FB4C0" w14:textId="77777777" w:rsidR="00273622" w:rsidRDefault="00273622" w:rsidP="001B5623">
      <w:pPr>
        <w:rPr>
          <w:rFonts w:cstheme="minorHAnsi"/>
          <w:b/>
          <w:bCs/>
          <w:color w:val="243587"/>
          <w:sz w:val="22"/>
          <w:szCs w:val="22"/>
          <w:lang w:val="el-GR"/>
        </w:rPr>
      </w:pPr>
    </w:p>
    <w:p w14:paraId="1C777435" w14:textId="77777777" w:rsidR="001B5623" w:rsidRDefault="001B5623" w:rsidP="001B5623">
      <w:pPr>
        <w:rPr>
          <w:rFonts w:cstheme="minorHAnsi"/>
          <w:b/>
          <w:bCs/>
          <w:color w:val="243587"/>
          <w:sz w:val="22"/>
          <w:szCs w:val="22"/>
          <w:lang w:val="el-GR"/>
        </w:rPr>
      </w:pPr>
    </w:p>
    <w:p w14:paraId="2DB1C67C" w14:textId="77777777" w:rsidR="001B5623" w:rsidRDefault="001B5623" w:rsidP="001B5623">
      <w:pPr>
        <w:rPr>
          <w:rFonts w:cstheme="minorHAnsi"/>
          <w:b/>
          <w:bCs/>
          <w:color w:val="243587"/>
          <w:sz w:val="22"/>
          <w:szCs w:val="22"/>
          <w:lang w:val="el-GR"/>
        </w:rPr>
      </w:pPr>
    </w:p>
    <w:p w14:paraId="40AFA8D5" w14:textId="77777777" w:rsidR="00913CEF" w:rsidRDefault="00913CEF" w:rsidP="00EF61F5">
      <w:pPr>
        <w:rPr>
          <w:rFonts w:cstheme="minorHAnsi"/>
          <w:b/>
          <w:bCs/>
          <w:color w:val="243587"/>
          <w:sz w:val="22"/>
          <w:szCs w:val="22"/>
          <w:lang w:val="el-GR"/>
        </w:rPr>
      </w:pPr>
      <w:bookmarkStart w:id="1" w:name="_GoBack"/>
      <w:bookmarkEnd w:id="1"/>
    </w:p>
    <w:p w14:paraId="2DECC859" w14:textId="77777777" w:rsidR="00913CEF" w:rsidRDefault="00913CEF" w:rsidP="00EF61F5">
      <w:pPr>
        <w:rPr>
          <w:rFonts w:cstheme="minorHAnsi"/>
          <w:b/>
          <w:bCs/>
          <w:color w:val="243587"/>
          <w:sz w:val="22"/>
          <w:szCs w:val="22"/>
          <w:lang w:val="el-GR"/>
        </w:rPr>
      </w:pPr>
    </w:p>
    <w:p w14:paraId="6FCED76B" w14:textId="77777777" w:rsidR="00913CEF" w:rsidRDefault="00913CEF" w:rsidP="00EF61F5">
      <w:pPr>
        <w:rPr>
          <w:rFonts w:cstheme="minorHAnsi"/>
          <w:b/>
          <w:bCs/>
          <w:color w:val="243587"/>
          <w:sz w:val="22"/>
          <w:szCs w:val="22"/>
          <w:lang w:val="el-GR"/>
        </w:rPr>
      </w:pPr>
    </w:p>
    <w:p w14:paraId="6D2B22F2" w14:textId="77777777" w:rsidR="00913CEF" w:rsidRDefault="00913CEF" w:rsidP="00EF61F5">
      <w:pPr>
        <w:rPr>
          <w:rFonts w:cstheme="minorHAnsi"/>
          <w:b/>
          <w:bCs/>
          <w:color w:val="243587"/>
          <w:sz w:val="22"/>
          <w:szCs w:val="22"/>
          <w:lang w:val="el-GR"/>
        </w:rPr>
      </w:pPr>
    </w:p>
    <w:p w14:paraId="2AE8A084" w14:textId="77777777" w:rsidR="00913CEF" w:rsidRDefault="00913CEF" w:rsidP="00EF61F5">
      <w:pPr>
        <w:rPr>
          <w:rFonts w:cstheme="minorHAnsi"/>
          <w:b/>
          <w:bCs/>
          <w:color w:val="243587"/>
          <w:sz w:val="22"/>
          <w:szCs w:val="22"/>
          <w:lang w:val="el-GR"/>
        </w:rPr>
      </w:pPr>
    </w:p>
    <w:p w14:paraId="3962B282" w14:textId="77777777" w:rsidR="0042144D" w:rsidRDefault="0042144D" w:rsidP="00EF61F5">
      <w:pPr>
        <w:rPr>
          <w:rFonts w:cstheme="minorHAnsi"/>
          <w:b/>
          <w:bCs/>
          <w:color w:val="243587"/>
          <w:sz w:val="22"/>
          <w:szCs w:val="22"/>
          <w:lang w:val="el-GR"/>
        </w:rPr>
      </w:pPr>
    </w:p>
    <w:p w14:paraId="1A66F4CE" w14:textId="77777777" w:rsidR="00913CEF" w:rsidRDefault="00913CEF" w:rsidP="00EF61F5">
      <w:pPr>
        <w:rPr>
          <w:rFonts w:cstheme="minorHAnsi"/>
          <w:b/>
          <w:bCs/>
          <w:color w:val="243587"/>
          <w:sz w:val="22"/>
          <w:szCs w:val="22"/>
          <w:lang w:val="el-GR"/>
        </w:rPr>
      </w:pPr>
    </w:p>
    <w:p w14:paraId="33CE5380" w14:textId="5A9CEC64" w:rsidR="006D5ED0" w:rsidRDefault="006D5ED0" w:rsidP="00EF61F5">
      <w:pPr>
        <w:rPr>
          <w:rFonts w:cstheme="minorHAnsi"/>
          <w:b/>
          <w:bCs/>
          <w:color w:val="243587"/>
          <w:sz w:val="22"/>
          <w:szCs w:val="22"/>
          <w:lang w:val="el-GR"/>
        </w:rPr>
      </w:pPr>
    </w:p>
    <w:p w14:paraId="51258FFE" w14:textId="77777777" w:rsidR="002936ED" w:rsidRDefault="002936ED" w:rsidP="00EF61F5">
      <w:pPr>
        <w:rPr>
          <w:rFonts w:cstheme="minorHAnsi"/>
          <w:b/>
          <w:bCs/>
          <w:color w:val="243587"/>
          <w:sz w:val="22"/>
          <w:szCs w:val="22"/>
          <w:lang w:val="el-GR"/>
        </w:rPr>
      </w:pPr>
    </w:p>
    <w:p w14:paraId="7ACA3290" w14:textId="687D8E70" w:rsidR="00EF61F5" w:rsidRDefault="00EF61F5" w:rsidP="00EF61F5">
      <w:pPr>
        <w:rPr>
          <w:rFonts w:cstheme="minorHAnsi"/>
          <w:b/>
          <w:bCs/>
          <w:color w:val="243587"/>
          <w:sz w:val="22"/>
          <w:szCs w:val="22"/>
          <w:lang w:val="el-GR"/>
        </w:rPr>
      </w:pPr>
      <w:r>
        <w:rPr>
          <w:rFonts w:cstheme="minorHAnsi"/>
          <w:b/>
          <w:bCs/>
          <w:color w:val="243587"/>
          <w:sz w:val="22"/>
          <w:szCs w:val="22"/>
          <w:lang w:val="el-GR"/>
        </w:rPr>
        <w:lastRenderedPageBreak/>
        <w:t xml:space="preserve">Αποτελέσματα Ομίλου </w:t>
      </w:r>
      <w:r w:rsidR="00B969ED">
        <w:rPr>
          <w:rFonts w:cstheme="minorHAnsi"/>
          <w:b/>
          <w:bCs/>
          <w:color w:val="243587"/>
          <w:sz w:val="22"/>
          <w:szCs w:val="22"/>
          <w:lang w:val="el-GR"/>
        </w:rPr>
        <w:t>Πρώτου</w:t>
      </w:r>
      <w:r>
        <w:rPr>
          <w:rFonts w:cstheme="minorHAnsi"/>
          <w:b/>
          <w:bCs/>
          <w:color w:val="243587"/>
          <w:sz w:val="22"/>
          <w:szCs w:val="22"/>
          <w:lang w:val="el-GR"/>
        </w:rPr>
        <w:t xml:space="preserve"> Τριμήνου 202</w:t>
      </w:r>
      <w:r w:rsidR="00B969ED">
        <w:rPr>
          <w:rFonts w:cstheme="minorHAnsi"/>
          <w:b/>
          <w:bCs/>
          <w:color w:val="243587"/>
          <w:sz w:val="22"/>
          <w:szCs w:val="22"/>
          <w:lang w:val="el-GR"/>
        </w:rPr>
        <w:t>3</w:t>
      </w:r>
    </w:p>
    <w:p w14:paraId="3FBE4793" w14:textId="77777777" w:rsidR="00EC0366" w:rsidRDefault="00EC0366" w:rsidP="00EF61F5">
      <w:pPr>
        <w:rPr>
          <w:rFonts w:cstheme="minorHAnsi"/>
          <w:b/>
          <w:bCs/>
          <w:color w:val="243587"/>
          <w:sz w:val="22"/>
          <w:szCs w:val="22"/>
          <w:lang w:val="el-GR"/>
        </w:rPr>
      </w:pPr>
    </w:p>
    <w:tbl>
      <w:tblPr>
        <w:tblW w:w="10478"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3828"/>
        <w:gridCol w:w="1559"/>
        <w:gridCol w:w="2268"/>
        <w:gridCol w:w="1538"/>
        <w:gridCol w:w="1285"/>
      </w:tblGrid>
      <w:tr w:rsidR="00B4517C" w14:paraId="14B58AD9" w14:textId="77777777" w:rsidTr="00B4517C">
        <w:trPr>
          <w:trHeight w:val="186"/>
        </w:trPr>
        <w:tc>
          <w:tcPr>
            <w:tcW w:w="3828" w:type="dxa"/>
            <w:tcBorders>
              <w:top w:val="single" w:sz="4" w:space="0" w:color="002677"/>
              <w:left w:val="nil"/>
              <w:bottom w:val="single" w:sz="4" w:space="0" w:color="002677"/>
              <w:right w:val="nil"/>
            </w:tcBorders>
            <w:shd w:val="clear" w:color="auto" w:fill="002677"/>
            <w:vAlign w:val="center"/>
            <w:hideMark/>
          </w:tcPr>
          <w:p w14:paraId="14A19328" w14:textId="77777777" w:rsidR="00B4517C" w:rsidRDefault="00B4517C">
            <w:pPr>
              <w:rPr>
                <w:rFonts w:cstheme="minorHAnsi"/>
                <w:color w:val="FFFFFF" w:themeColor="background1"/>
                <w:kern w:val="24"/>
                <w:sz w:val="22"/>
                <w:szCs w:val="22"/>
                <w:lang w:val="en-US"/>
              </w:rPr>
            </w:pPr>
            <w:bookmarkStart w:id="2" w:name="_Hlk135065040"/>
            <w:r>
              <w:rPr>
                <w:rFonts w:cstheme="minorHAnsi"/>
                <w:color w:val="FFFFFF" w:themeColor="background1"/>
                <w:kern w:val="24"/>
                <w:sz w:val="22"/>
                <w:szCs w:val="22"/>
                <w:lang w:val="en-US"/>
              </w:rPr>
              <w:t>(</w:t>
            </w:r>
            <w:proofErr w:type="spellStart"/>
            <w:r>
              <w:rPr>
                <w:rFonts w:cstheme="minorHAnsi"/>
                <w:color w:val="FFFFFF" w:themeColor="background1"/>
                <w:kern w:val="24"/>
                <w:sz w:val="22"/>
                <w:szCs w:val="22"/>
              </w:rPr>
              <w:t>σε</w:t>
            </w:r>
            <w:proofErr w:type="spellEnd"/>
            <w:r>
              <w:rPr>
                <w:rFonts w:cstheme="minorHAnsi"/>
                <w:color w:val="FFFFFF" w:themeColor="background1"/>
                <w:kern w:val="24"/>
                <w:sz w:val="22"/>
                <w:szCs w:val="22"/>
                <w:lang w:val="en-US"/>
              </w:rPr>
              <w:t xml:space="preserve"> € </w:t>
            </w:r>
            <w:proofErr w:type="spellStart"/>
            <w:r>
              <w:rPr>
                <w:rFonts w:cstheme="minorHAnsi"/>
                <w:color w:val="FFFFFF" w:themeColor="background1"/>
                <w:kern w:val="24"/>
                <w:sz w:val="22"/>
                <w:szCs w:val="22"/>
              </w:rPr>
              <w:t>εκ</w:t>
            </w:r>
            <w:proofErr w:type="spellEnd"/>
            <w:r>
              <w:rPr>
                <w:rFonts w:cstheme="minorHAnsi"/>
                <w:color w:val="FFFFFF" w:themeColor="background1"/>
                <w:kern w:val="24"/>
                <w:sz w:val="22"/>
                <w:szCs w:val="22"/>
              </w:rPr>
              <w:t>ατ</w:t>
            </w:r>
            <w:r>
              <w:rPr>
                <w:rFonts w:cstheme="minorHAnsi"/>
                <w:color w:val="FFFFFF" w:themeColor="background1"/>
                <w:kern w:val="24"/>
                <w:sz w:val="22"/>
                <w:szCs w:val="22"/>
                <w:lang w:val="en-US"/>
              </w:rPr>
              <w:t>.)</w:t>
            </w:r>
          </w:p>
        </w:tc>
        <w:tc>
          <w:tcPr>
            <w:tcW w:w="1559" w:type="dxa"/>
            <w:tcBorders>
              <w:top w:val="single" w:sz="4" w:space="0" w:color="002677"/>
              <w:left w:val="nil"/>
              <w:bottom w:val="single" w:sz="4" w:space="0" w:color="002677"/>
              <w:right w:val="nil"/>
            </w:tcBorders>
            <w:shd w:val="clear" w:color="auto" w:fill="002677"/>
            <w:vAlign w:val="center"/>
          </w:tcPr>
          <w:p w14:paraId="03EB46FB"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4AAADE85" w14:textId="4C96CD90" w:rsidR="00B4517C" w:rsidRP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w:t>
            </w:r>
            <w:r>
              <w:rPr>
                <w:rFonts w:cstheme="minorHAnsi"/>
                <w:color w:val="FFFFFF" w:themeColor="background1"/>
                <w:kern w:val="24"/>
                <w:sz w:val="22"/>
                <w:szCs w:val="22"/>
                <w:lang w:val="el-GR"/>
              </w:rPr>
              <w:t>19</w:t>
            </w:r>
          </w:p>
        </w:tc>
        <w:tc>
          <w:tcPr>
            <w:tcW w:w="2268" w:type="dxa"/>
            <w:tcBorders>
              <w:top w:val="single" w:sz="4" w:space="0" w:color="002677"/>
              <w:left w:val="nil"/>
              <w:bottom w:val="single" w:sz="4" w:space="0" w:color="002677"/>
              <w:right w:val="nil"/>
            </w:tcBorders>
            <w:shd w:val="clear" w:color="auto" w:fill="002677"/>
            <w:vAlign w:val="center"/>
            <w:hideMark/>
          </w:tcPr>
          <w:p w14:paraId="15972107" w14:textId="629008B4" w:rsidR="00B4517C" w:rsidRDefault="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61DAC58F" w14:textId="77777777" w:rsidR="00B4517C" w:rsidRPr="00B969ED" w:rsidRDefault="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538" w:type="dxa"/>
            <w:tcBorders>
              <w:top w:val="single" w:sz="4" w:space="0" w:color="002677"/>
              <w:left w:val="nil"/>
              <w:bottom w:val="single" w:sz="4" w:space="0" w:color="002677"/>
              <w:right w:val="nil"/>
            </w:tcBorders>
            <w:shd w:val="clear" w:color="auto" w:fill="002677"/>
            <w:vAlign w:val="center"/>
            <w:hideMark/>
          </w:tcPr>
          <w:p w14:paraId="20D9EBBF" w14:textId="77777777" w:rsidR="00B4517C" w:rsidRDefault="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6335CE55" w14:textId="77777777" w:rsidR="00B4517C" w:rsidRDefault="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285" w:type="dxa"/>
            <w:tcBorders>
              <w:top w:val="single" w:sz="4" w:space="0" w:color="002677"/>
              <w:left w:val="nil"/>
              <w:bottom w:val="single" w:sz="4" w:space="0" w:color="002677"/>
              <w:right w:val="nil"/>
            </w:tcBorders>
            <w:shd w:val="clear" w:color="auto" w:fill="002677"/>
            <w:vAlign w:val="center"/>
            <w:hideMark/>
          </w:tcPr>
          <w:p w14:paraId="7E5ACCD1" w14:textId="77777777" w:rsidR="00B4517C" w:rsidRDefault="00B4517C">
            <w:pPr>
              <w:jc w:val="center"/>
              <w:rPr>
                <w:rFonts w:cstheme="minorHAnsi"/>
                <w:color w:val="FFFFFF" w:themeColor="background1"/>
                <w:kern w:val="24"/>
                <w:sz w:val="22"/>
                <w:szCs w:val="22"/>
                <w:lang w:val="el-GR"/>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proofErr w:type="spellStart"/>
            <w:r>
              <w:rPr>
                <w:rFonts w:cstheme="minorHAnsi"/>
                <w:color w:val="FFFFFF" w:themeColor="background1"/>
                <w:kern w:val="24"/>
                <w:sz w:val="22"/>
                <w:szCs w:val="22"/>
                <w:lang w:val="el-GR"/>
              </w:rPr>
              <w:t>μτβ</w:t>
            </w:r>
            <w:proofErr w:type="spellEnd"/>
          </w:p>
          <w:p w14:paraId="22398BD1" w14:textId="5E2CBCF8" w:rsidR="00B4517C" w:rsidRDefault="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‘22/</w:t>
            </w:r>
            <w:r w:rsidR="00A828C5">
              <w:rPr>
                <w:rFonts w:cstheme="minorHAnsi"/>
                <w:color w:val="FFFFFF" w:themeColor="background1"/>
                <w:kern w:val="24"/>
                <w:sz w:val="22"/>
                <w:szCs w:val="22"/>
                <w:lang w:val="el-GR"/>
              </w:rPr>
              <w:t>‘</w:t>
            </w:r>
            <w:r>
              <w:rPr>
                <w:rFonts w:cstheme="minorHAnsi"/>
                <w:color w:val="FFFFFF" w:themeColor="background1"/>
                <w:kern w:val="24"/>
                <w:sz w:val="22"/>
                <w:szCs w:val="22"/>
                <w:lang w:val="el-GR"/>
              </w:rPr>
              <w:t>23</w:t>
            </w:r>
          </w:p>
        </w:tc>
      </w:tr>
      <w:tr w:rsidR="00B4517C" w14:paraId="4E05660E" w14:textId="77777777" w:rsidTr="00B4517C">
        <w:trPr>
          <w:trHeight w:val="227"/>
        </w:trPr>
        <w:tc>
          <w:tcPr>
            <w:tcW w:w="3828" w:type="dxa"/>
            <w:tcBorders>
              <w:top w:val="single" w:sz="4" w:space="0" w:color="002677"/>
              <w:left w:val="nil"/>
              <w:bottom w:val="single" w:sz="4" w:space="0" w:color="002677"/>
              <w:right w:val="nil"/>
            </w:tcBorders>
            <w:vAlign w:val="center"/>
            <w:hideMark/>
          </w:tcPr>
          <w:p w14:paraId="139C69F9" w14:textId="77777777" w:rsidR="00B4517C" w:rsidRDefault="00B4517C" w:rsidP="00471E8C">
            <w:pPr>
              <w:rPr>
                <w:rFonts w:eastAsia="Times New Roman" w:cstheme="minorHAnsi"/>
                <w:color w:val="243587"/>
                <w:sz w:val="22"/>
                <w:szCs w:val="22"/>
                <w:lang w:eastAsia="el-GR"/>
              </w:rPr>
            </w:pPr>
            <w:proofErr w:type="spellStart"/>
            <w:r>
              <w:rPr>
                <w:rFonts w:cstheme="minorHAnsi"/>
                <w:color w:val="243587"/>
                <w:sz w:val="22"/>
                <w:szCs w:val="22"/>
              </w:rPr>
              <w:t>Έσοδ</w:t>
            </w:r>
            <w:proofErr w:type="spellEnd"/>
            <w:r>
              <w:rPr>
                <w:rFonts w:cstheme="minorHAnsi"/>
                <w:color w:val="243587"/>
                <w:sz w:val="22"/>
                <w:szCs w:val="22"/>
              </w:rPr>
              <w:t>α</w:t>
            </w:r>
          </w:p>
        </w:tc>
        <w:tc>
          <w:tcPr>
            <w:tcW w:w="1559" w:type="dxa"/>
            <w:tcBorders>
              <w:top w:val="single" w:sz="4" w:space="0" w:color="002677"/>
              <w:left w:val="nil"/>
              <w:bottom w:val="single" w:sz="4" w:space="0" w:color="002677"/>
              <w:right w:val="nil"/>
            </w:tcBorders>
            <w:vAlign w:val="center"/>
          </w:tcPr>
          <w:p w14:paraId="3DADEFB3" w14:textId="55B8DA19" w:rsidR="00B4517C" w:rsidRPr="00B4517C" w:rsidRDefault="00B4517C" w:rsidP="00B4517C">
            <w:pPr>
              <w:jc w:val="center"/>
              <w:rPr>
                <w:rFonts w:ascii="Calibri" w:eastAsia="Times New Roman" w:hAnsi="Calibri" w:cs="Calibri"/>
                <w:color w:val="243587"/>
                <w:sz w:val="22"/>
                <w:szCs w:val="22"/>
                <w:lang w:eastAsia="el-GR"/>
              </w:rPr>
            </w:pPr>
            <w:r w:rsidRPr="00B4517C">
              <w:rPr>
                <w:rFonts w:ascii="Calibri" w:eastAsia="Times New Roman" w:hAnsi="Calibri" w:cs="Calibri"/>
                <w:color w:val="243587"/>
                <w:sz w:val="22"/>
                <w:szCs w:val="22"/>
                <w:lang w:eastAsia="el-GR"/>
              </w:rPr>
              <w:t>172,0</w:t>
            </w:r>
          </w:p>
        </w:tc>
        <w:tc>
          <w:tcPr>
            <w:tcW w:w="2268" w:type="dxa"/>
            <w:tcBorders>
              <w:top w:val="single" w:sz="4" w:space="0" w:color="002677"/>
              <w:left w:val="nil"/>
              <w:bottom w:val="single" w:sz="4" w:space="0" w:color="002677"/>
              <w:right w:val="nil"/>
            </w:tcBorders>
            <w:vAlign w:val="center"/>
            <w:hideMark/>
          </w:tcPr>
          <w:p w14:paraId="729A1F57" w14:textId="18277B32" w:rsidR="00B4517C" w:rsidRPr="001B289C" w:rsidRDefault="00B4517C" w:rsidP="00471E8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120,8</w:t>
            </w:r>
          </w:p>
        </w:tc>
        <w:tc>
          <w:tcPr>
            <w:tcW w:w="1538" w:type="dxa"/>
            <w:tcBorders>
              <w:top w:val="single" w:sz="4" w:space="0" w:color="002677"/>
              <w:left w:val="nil"/>
              <w:bottom w:val="single" w:sz="4" w:space="0" w:color="002677"/>
              <w:right w:val="nil"/>
            </w:tcBorders>
            <w:shd w:val="clear" w:color="auto" w:fill="EFF2F9"/>
            <w:vAlign w:val="center"/>
            <w:hideMark/>
          </w:tcPr>
          <w:p w14:paraId="1DB13B0D" w14:textId="77777777" w:rsidR="00B4517C" w:rsidRPr="001B289C" w:rsidRDefault="00B4517C" w:rsidP="00471E8C">
            <w:pPr>
              <w:jc w:val="center"/>
              <w:rPr>
                <w:rFonts w:ascii="Calibri" w:eastAsia="Times New Roman" w:hAnsi="Calibri" w:cs="Calibri"/>
                <w:color w:val="243587"/>
                <w:sz w:val="22"/>
                <w:szCs w:val="22"/>
                <w:lang w:eastAsia="el-GR"/>
              </w:rPr>
            </w:pPr>
            <w:r w:rsidRPr="00471E8C">
              <w:rPr>
                <w:rFonts w:ascii="Calibri" w:eastAsia="Times New Roman" w:hAnsi="Calibri" w:cs="Calibri"/>
                <w:color w:val="243587"/>
                <w:sz w:val="22"/>
                <w:szCs w:val="22"/>
                <w:lang w:eastAsia="el-GR"/>
              </w:rPr>
              <w:t>229,1</w:t>
            </w:r>
          </w:p>
        </w:tc>
        <w:tc>
          <w:tcPr>
            <w:tcW w:w="1285" w:type="dxa"/>
            <w:tcBorders>
              <w:top w:val="single" w:sz="4" w:space="0" w:color="002677"/>
              <w:left w:val="nil"/>
              <w:bottom w:val="single" w:sz="4" w:space="0" w:color="002677"/>
              <w:right w:val="nil"/>
            </w:tcBorders>
            <w:vAlign w:val="center"/>
            <w:hideMark/>
          </w:tcPr>
          <w:p w14:paraId="333331AC" w14:textId="77777777" w:rsidR="00B4517C" w:rsidRPr="001B289C" w:rsidRDefault="00B4517C" w:rsidP="00471E8C">
            <w:pPr>
              <w:jc w:val="center"/>
              <w:rPr>
                <w:rFonts w:ascii="Calibri" w:eastAsia="Times New Roman" w:hAnsi="Calibri" w:cs="Calibri"/>
                <w:color w:val="243587"/>
                <w:sz w:val="22"/>
                <w:szCs w:val="22"/>
                <w:lang w:eastAsia="el-GR"/>
              </w:rPr>
            </w:pPr>
            <w:r w:rsidRPr="00471E8C">
              <w:rPr>
                <w:rFonts w:ascii="Calibri" w:eastAsia="Times New Roman" w:hAnsi="Calibri" w:cs="Calibri"/>
                <w:color w:val="243587"/>
                <w:sz w:val="22"/>
                <w:szCs w:val="22"/>
                <w:lang w:eastAsia="el-GR"/>
              </w:rPr>
              <w:t>90%</w:t>
            </w:r>
          </w:p>
        </w:tc>
      </w:tr>
      <w:tr w:rsidR="00B4517C" w14:paraId="02282296" w14:textId="77777777" w:rsidTr="00B4517C">
        <w:trPr>
          <w:trHeight w:val="250"/>
        </w:trPr>
        <w:tc>
          <w:tcPr>
            <w:tcW w:w="3828" w:type="dxa"/>
            <w:tcBorders>
              <w:top w:val="single" w:sz="4" w:space="0" w:color="002677"/>
              <w:left w:val="nil"/>
              <w:bottom w:val="single" w:sz="4" w:space="0" w:color="002677"/>
              <w:right w:val="nil"/>
            </w:tcBorders>
            <w:vAlign w:val="center"/>
            <w:hideMark/>
          </w:tcPr>
          <w:p w14:paraId="010C8AA7" w14:textId="2E59EDA1" w:rsidR="00B4517C" w:rsidRPr="00B4517C" w:rsidRDefault="00B4517C" w:rsidP="001B289C">
            <w:pPr>
              <w:rPr>
                <w:rFonts w:cstheme="minorHAnsi"/>
                <w:color w:val="243587"/>
                <w:sz w:val="22"/>
                <w:szCs w:val="22"/>
                <w:lang w:val="el-GR"/>
              </w:rPr>
            </w:pPr>
            <w:r>
              <w:rPr>
                <w:rFonts w:cstheme="minorHAnsi"/>
                <w:color w:val="243587"/>
                <w:sz w:val="22"/>
                <w:szCs w:val="22"/>
                <w:lang w:val="en-US"/>
              </w:rPr>
              <w:t>EBITDA</w:t>
            </w:r>
            <w:r w:rsidRPr="00B4517C">
              <w:rPr>
                <w:rFonts w:cstheme="minorHAnsi"/>
                <w:color w:val="243587"/>
                <w:sz w:val="22"/>
                <w:szCs w:val="22"/>
                <w:vertAlign w:val="superscript"/>
                <w:lang w:val="el-GR"/>
              </w:rPr>
              <w:t>1</w:t>
            </w:r>
          </w:p>
        </w:tc>
        <w:tc>
          <w:tcPr>
            <w:tcW w:w="1559" w:type="dxa"/>
            <w:tcBorders>
              <w:top w:val="single" w:sz="4" w:space="0" w:color="002677"/>
              <w:left w:val="nil"/>
              <w:bottom w:val="single" w:sz="4" w:space="0" w:color="002677"/>
              <w:right w:val="nil"/>
            </w:tcBorders>
            <w:vAlign w:val="center"/>
          </w:tcPr>
          <w:p w14:paraId="05D825AB" w14:textId="12FEE2BC" w:rsidR="00B4517C" w:rsidRPr="001B289C" w:rsidRDefault="00B4517C" w:rsidP="00B4517C">
            <w:pPr>
              <w:jc w:val="center"/>
              <w:rPr>
                <w:rFonts w:ascii="Calibri" w:eastAsia="Times New Roman" w:hAnsi="Calibri" w:cs="Calibri"/>
                <w:color w:val="243587"/>
                <w:sz w:val="22"/>
                <w:szCs w:val="22"/>
                <w:lang w:eastAsia="el-GR"/>
              </w:rPr>
            </w:pPr>
            <w:r w:rsidRPr="00B4517C">
              <w:rPr>
                <w:rFonts w:ascii="Calibri" w:eastAsia="Times New Roman" w:hAnsi="Calibri" w:cs="Calibri"/>
                <w:color w:val="243587"/>
                <w:sz w:val="22"/>
                <w:szCs w:val="22"/>
                <w:lang w:eastAsia="el-GR"/>
              </w:rPr>
              <w:t>(8,5)</w:t>
            </w:r>
          </w:p>
        </w:tc>
        <w:tc>
          <w:tcPr>
            <w:tcW w:w="2268" w:type="dxa"/>
            <w:tcBorders>
              <w:top w:val="single" w:sz="4" w:space="0" w:color="002677"/>
              <w:left w:val="nil"/>
              <w:bottom w:val="single" w:sz="4" w:space="0" w:color="002677"/>
              <w:right w:val="nil"/>
            </w:tcBorders>
            <w:vAlign w:val="center"/>
            <w:hideMark/>
          </w:tcPr>
          <w:p w14:paraId="592FD28D" w14:textId="54D18B41" w:rsidR="00B4517C" w:rsidRPr="001B289C" w:rsidRDefault="00B4517C" w:rsidP="001B289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(16,1)</w:t>
            </w:r>
          </w:p>
        </w:tc>
        <w:tc>
          <w:tcPr>
            <w:tcW w:w="1538" w:type="dxa"/>
            <w:tcBorders>
              <w:top w:val="single" w:sz="4" w:space="0" w:color="002677"/>
              <w:left w:val="nil"/>
              <w:bottom w:val="single" w:sz="4" w:space="0" w:color="002677"/>
              <w:right w:val="nil"/>
            </w:tcBorders>
            <w:shd w:val="clear" w:color="auto" w:fill="EFF2F9"/>
            <w:vAlign w:val="center"/>
            <w:hideMark/>
          </w:tcPr>
          <w:p w14:paraId="1AAD59AC" w14:textId="77777777" w:rsidR="00B4517C" w:rsidRPr="00471E8C" w:rsidRDefault="00B4517C" w:rsidP="001B289C">
            <w:pPr>
              <w:jc w:val="center"/>
              <w:rPr>
                <w:rFonts w:ascii="Calibri" w:eastAsia="Times New Roman" w:hAnsi="Calibri" w:cs="Calibri"/>
                <w:color w:val="243587"/>
                <w:sz w:val="22"/>
                <w:szCs w:val="22"/>
                <w:lang w:val="el-GR" w:eastAsia="el-GR"/>
              </w:rPr>
            </w:pPr>
            <w:r>
              <w:rPr>
                <w:rFonts w:ascii="Calibri" w:eastAsia="Times New Roman" w:hAnsi="Calibri" w:cs="Calibri"/>
                <w:color w:val="243587"/>
                <w:sz w:val="22"/>
                <w:szCs w:val="22"/>
                <w:lang w:val="el-GR" w:eastAsia="el-GR"/>
              </w:rPr>
              <w:t>19,3</w:t>
            </w:r>
          </w:p>
        </w:tc>
        <w:tc>
          <w:tcPr>
            <w:tcW w:w="1285" w:type="dxa"/>
            <w:tcBorders>
              <w:top w:val="single" w:sz="4" w:space="0" w:color="002677"/>
              <w:left w:val="nil"/>
              <w:bottom w:val="single" w:sz="4" w:space="0" w:color="002677"/>
              <w:right w:val="nil"/>
            </w:tcBorders>
            <w:vAlign w:val="center"/>
            <w:hideMark/>
          </w:tcPr>
          <w:p w14:paraId="0755D063" w14:textId="77777777" w:rsidR="00B4517C" w:rsidRPr="001B289C" w:rsidRDefault="00B4517C" w:rsidP="001B289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w:t>
            </w:r>
          </w:p>
        </w:tc>
      </w:tr>
      <w:tr w:rsidR="00B4517C" w14:paraId="0A255DA4" w14:textId="77777777" w:rsidTr="00B4517C">
        <w:trPr>
          <w:trHeight w:val="267"/>
        </w:trPr>
        <w:tc>
          <w:tcPr>
            <w:tcW w:w="3828" w:type="dxa"/>
            <w:tcBorders>
              <w:top w:val="single" w:sz="4" w:space="0" w:color="002677"/>
              <w:left w:val="nil"/>
              <w:bottom w:val="single" w:sz="4" w:space="0" w:color="002677"/>
              <w:right w:val="nil"/>
            </w:tcBorders>
            <w:vAlign w:val="center"/>
            <w:hideMark/>
          </w:tcPr>
          <w:p w14:paraId="58C385F2" w14:textId="77777777" w:rsidR="00B4517C" w:rsidRDefault="00B4517C" w:rsidP="001B289C">
            <w:pPr>
              <w:rPr>
                <w:rFonts w:eastAsia="Times New Roman" w:cstheme="minorHAnsi"/>
                <w:color w:val="243587"/>
                <w:sz w:val="22"/>
                <w:szCs w:val="22"/>
                <w:lang w:val="el-GR" w:eastAsia="el-GR"/>
              </w:rPr>
            </w:pPr>
            <w:r>
              <w:rPr>
                <w:rFonts w:cstheme="minorHAnsi"/>
                <w:color w:val="243587"/>
                <w:sz w:val="22"/>
                <w:szCs w:val="22"/>
                <w:lang w:val="el-GR"/>
              </w:rPr>
              <w:t xml:space="preserve">Κέρδη / (Ζημίες) </w:t>
            </w:r>
            <w:r>
              <w:rPr>
                <w:rFonts w:cstheme="minorHAnsi"/>
                <w:color w:val="243587"/>
                <w:sz w:val="22"/>
                <w:szCs w:val="22"/>
              </w:rPr>
              <w:t>π</w:t>
            </w:r>
            <w:proofErr w:type="spellStart"/>
            <w:r>
              <w:rPr>
                <w:rFonts w:cstheme="minorHAnsi"/>
                <w:color w:val="243587"/>
                <w:sz w:val="22"/>
                <w:szCs w:val="22"/>
              </w:rPr>
              <w:t>ρο</w:t>
            </w:r>
            <w:proofErr w:type="spellEnd"/>
            <w:r>
              <w:rPr>
                <w:rFonts w:cstheme="minorHAnsi"/>
                <w:color w:val="243587"/>
                <w:sz w:val="22"/>
                <w:szCs w:val="22"/>
              </w:rPr>
              <w:t xml:space="preserve"> </w:t>
            </w:r>
            <w:proofErr w:type="spellStart"/>
            <w:r>
              <w:rPr>
                <w:rFonts w:cstheme="minorHAnsi"/>
                <w:color w:val="243587"/>
                <w:sz w:val="22"/>
                <w:szCs w:val="22"/>
              </w:rPr>
              <w:t>φόρων</w:t>
            </w:r>
            <w:proofErr w:type="spellEnd"/>
          </w:p>
        </w:tc>
        <w:tc>
          <w:tcPr>
            <w:tcW w:w="1559" w:type="dxa"/>
            <w:tcBorders>
              <w:top w:val="single" w:sz="4" w:space="0" w:color="002677"/>
              <w:left w:val="nil"/>
              <w:bottom w:val="single" w:sz="4" w:space="0" w:color="002677"/>
              <w:right w:val="nil"/>
            </w:tcBorders>
            <w:vAlign w:val="center"/>
          </w:tcPr>
          <w:p w14:paraId="6B73C9C1" w14:textId="5B90292F" w:rsidR="00B4517C" w:rsidRPr="00B4517C" w:rsidRDefault="00B4517C" w:rsidP="00B4517C">
            <w:pPr>
              <w:jc w:val="center"/>
              <w:rPr>
                <w:rFonts w:ascii="Calibri" w:eastAsia="Times New Roman" w:hAnsi="Calibri" w:cs="Calibri"/>
                <w:color w:val="243587"/>
                <w:sz w:val="22"/>
                <w:szCs w:val="22"/>
                <w:lang w:eastAsia="el-GR"/>
              </w:rPr>
            </w:pPr>
            <w:r w:rsidRPr="00B4517C">
              <w:rPr>
                <w:rFonts w:ascii="Calibri" w:eastAsia="Times New Roman" w:hAnsi="Calibri" w:cs="Calibri"/>
                <w:color w:val="243587"/>
                <w:sz w:val="22"/>
                <w:szCs w:val="22"/>
                <w:lang w:eastAsia="el-GR"/>
              </w:rPr>
              <w:t>(48,7)</w:t>
            </w:r>
          </w:p>
        </w:tc>
        <w:tc>
          <w:tcPr>
            <w:tcW w:w="2268" w:type="dxa"/>
            <w:tcBorders>
              <w:top w:val="single" w:sz="4" w:space="0" w:color="002677"/>
              <w:left w:val="nil"/>
              <w:bottom w:val="single" w:sz="4" w:space="0" w:color="002677"/>
              <w:right w:val="nil"/>
            </w:tcBorders>
            <w:vAlign w:val="center"/>
            <w:hideMark/>
          </w:tcPr>
          <w:p w14:paraId="5FF66A42" w14:textId="5029B78F" w:rsidR="00B4517C" w:rsidRPr="001B289C" w:rsidRDefault="00B4517C" w:rsidP="001B289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(48,3)</w:t>
            </w:r>
          </w:p>
        </w:tc>
        <w:tc>
          <w:tcPr>
            <w:tcW w:w="1538" w:type="dxa"/>
            <w:tcBorders>
              <w:top w:val="single" w:sz="4" w:space="0" w:color="002677"/>
              <w:left w:val="nil"/>
              <w:bottom w:val="single" w:sz="4" w:space="0" w:color="002677"/>
              <w:right w:val="nil"/>
            </w:tcBorders>
            <w:shd w:val="clear" w:color="auto" w:fill="EFF2F9"/>
            <w:vAlign w:val="center"/>
            <w:hideMark/>
          </w:tcPr>
          <w:p w14:paraId="0B57528D" w14:textId="77777777" w:rsidR="00B4517C" w:rsidRPr="001B289C" w:rsidRDefault="00B4517C" w:rsidP="001B289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w:t>
            </w:r>
            <w:r>
              <w:rPr>
                <w:rFonts w:ascii="Calibri" w:eastAsia="Times New Roman" w:hAnsi="Calibri" w:cs="Calibri"/>
                <w:color w:val="243587"/>
                <w:sz w:val="22"/>
                <w:szCs w:val="22"/>
                <w:lang w:eastAsia="el-GR"/>
              </w:rPr>
              <w:t>18</w:t>
            </w:r>
            <w:r w:rsidRPr="001B289C">
              <w:rPr>
                <w:rFonts w:ascii="Calibri" w:eastAsia="Times New Roman" w:hAnsi="Calibri" w:cs="Calibri"/>
                <w:color w:val="243587"/>
                <w:sz w:val="22"/>
                <w:szCs w:val="22"/>
                <w:lang w:eastAsia="el-GR"/>
              </w:rPr>
              <w:t>,</w:t>
            </w:r>
            <w:r>
              <w:rPr>
                <w:rFonts w:ascii="Calibri" w:eastAsia="Times New Roman" w:hAnsi="Calibri" w:cs="Calibri"/>
                <w:color w:val="243587"/>
                <w:sz w:val="22"/>
                <w:szCs w:val="22"/>
                <w:lang w:val="el-GR" w:eastAsia="el-GR"/>
              </w:rPr>
              <w:t>6</w:t>
            </w:r>
            <w:r w:rsidRPr="001B289C">
              <w:rPr>
                <w:rFonts w:ascii="Calibri" w:eastAsia="Times New Roman" w:hAnsi="Calibri" w:cs="Calibri"/>
                <w:color w:val="243587"/>
                <w:sz w:val="22"/>
                <w:szCs w:val="22"/>
                <w:lang w:eastAsia="el-GR"/>
              </w:rPr>
              <w:t>)</w:t>
            </w:r>
          </w:p>
        </w:tc>
        <w:tc>
          <w:tcPr>
            <w:tcW w:w="1285" w:type="dxa"/>
            <w:tcBorders>
              <w:top w:val="single" w:sz="4" w:space="0" w:color="002677"/>
              <w:left w:val="nil"/>
              <w:bottom w:val="single" w:sz="4" w:space="0" w:color="002677"/>
              <w:right w:val="nil"/>
            </w:tcBorders>
            <w:vAlign w:val="center"/>
            <w:hideMark/>
          </w:tcPr>
          <w:p w14:paraId="3006A644" w14:textId="77777777" w:rsidR="00B4517C" w:rsidRPr="001B289C" w:rsidRDefault="00B4517C" w:rsidP="001B289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w:t>
            </w:r>
          </w:p>
        </w:tc>
      </w:tr>
      <w:tr w:rsidR="00B4517C" w14:paraId="6398C753" w14:textId="77777777" w:rsidTr="00B4517C">
        <w:trPr>
          <w:trHeight w:val="175"/>
        </w:trPr>
        <w:tc>
          <w:tcPr>
            <w:tcW w:w="3828" w:type="dxa"/>
            <w:tcBorders>
              <w:top w:val="single" w:sz="4" w:space="0" w:color="002677"/>
              <w:left w:val="nil"/>
              <w:bottom w:val="single" w:sz="4" w:space="0" w:color="002677"/>
              <w:right w:val="nil"/>
            </w:tcBorders>
            <w:vAlign w:val="center"/>
            <w:hideMark/>
          </w:tcPr>
          <w:p w14:paraId="5686155F" w14:textId="77777777" w:rsidR="00B4517C" w:rsidRDefault="00B4517C" w:rsidP="001B289C">
            <w:pPr>
              <w:rPr>
                <w:rFonts w:eastAsia="Times New Roman" w:cstheme="minorHAnsi"/>
                <w:color w:val="243587"/>
                <w:sz w:val="22"/>
                <w:szCs w:val="22"/>
                <w:lang w:val="el-GR" w:eastAsia="el-GR"/>
              </w:rPr>
            </w:pPr>
            <w:r>
              <w:rPr>
                <w:rFonts w:cstheme="minorHAnsi"/>
                <w:color w:val="243587"/>
                <w:sz w:val="22"/>
                <w:szCs w:val="22"/>
                <w:lang w:val="el-GR"/>
              </w:rPr>
              <w:t>Κέρδη / (Ζημίες) μετά από φόρους</w:t>
            </w:r>
          </w:p>
        </w:tc>
        <w:tc>
          <w:tcPr>
            <w:tcW w:w="1559" w:type="dxa"/>
            <w:tcBorders>
              <w:top w:val="single" w:sz="4" w:space="0" w:color="002677"/>
              <w:left w:val="nil"/>
              <w:bottom w:val="single" w:sz="4" w:space="0" w:color="002677"/>
              <w:right w:val="nil"/>
            </w:tcBorders>
            <w:vAlign w:val="center"/>
          </w:tcPr>
          <w:p w14:paraId="00D21763" w14:textId="372AC662" w:rsidR="00B4517C" w:rsidRPr="00B4517C" w:rsidRDefault="00B4517C" w:rsidP="00B4517C">
            <w:pPr>
              <w:jc w:val="center"/>
              <w:rPr>
                <w:rFonts w:ascii="Calibri" w:eastAsia="Times New Roman" w:hAnsi="Calibri" w:cs="Calibri"/>
                <w:color w:val="243587"/>
                <w:sz w:val="22"/>
                <w:szCs w:val="22"/>
                <w:lang w:eastAsia="el-GR"/>
              </w:rPr>
            </w:pPr>
            <w:r w:rsidRPr="00B4517C">
              <w:rPr>
                <w:rFonts w:ascii="Calibri" w:eastAsia="Times New Roman" w:hAnsi="Calibri" w:cs="Calibri"/>
                <w:color w:val="243587"/>
                <w:sz w:val="22"/>
                <w:szCs w:val="22"/>
                <w:lang w:eastAsia="el-GR"/>
              </w:rPr>
              <w:t>(35,2)</w:t>
            </w:r>
          </w:p>
        </w:tc>
        <w:tc>
          <w:tcPr>
            <w:tcW w:w="2268" w:type="dxa"/>
            <w:tcBorders>
              <w:top w:val="single" w:sz="4" w:space="0" w:color="002677"/>
              <w:left w:val="nil"/>
              <w:bottom w:val="single" w:sz="4" w:space="0" w:color="002677"/>
              <w:right w:val="nil"/>
            </w:tcBorders>
            <w:vAlign w:val="center"/>
            <w:hideMark/>
          </w:tcPr>
          <w:p w14:paraId="70EED193" w14:textId="540FE507" w:rsidR="00B4517C" w:rsidRPr="001B289C" w:rsidRDefault="00B4517C" w:rsidP="001B289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(38,5)</w:t>
            </w:r>
          </w:p>
        </w:tc>
        <w:tc>
          <w:tcPr>
            <w:tcW w:w="1538" w:type="dxa"/>
            <w:tcBorders>
              <w:top w:val="single" w:sz="4" w:space="0" w:color="002677"/>
              <w:left w:val="nil"/>
              <w:bottom w:val="single" w:sz="4" w:space="0" w:color="002677"/>
              <w:right w:val="nil"/>
            </w:tcBorders>
            <w:shd w:val="clear" w:color="auto" w:fill="EFF2F9"/>
            <w:vAlign w:val="center"/>
            <w:hideMark/>
          </w:tcPr>
          <w:p w14:paraId="14EADC1B" w14:textId="18685749" w:rsidR="00B4517C" w:rsidRPr="001B289C" w:rsidRDefault="00B4517C" w:rsidP="001B289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(1</w:t>
            </w:r>
            <w:r>
              <w:rPr>
                <w:rFonts w:ascii="Calibri" w:eastAsia="Times New Roman" w:hAnsi="Calibri" w:cs="Calibri"/>
                <w:color w:val="243587"/>
                <w:sz w:val="22"/>
                <w:szCs w:val="22"/>
                <w:lang w:eastAsia="el-GR"/>
              </w:rPr>
              <w:t>4</w:t>
            </w:r>
            <w:r w:rsidRPr="001B289C">
              <w:rPr>
                <w:rFonts w:ascii="Calibri" w:eastAsia="Times New Roman" w:hAnsi="Calibri" w:cs="Calibri"/>
                <w:color w:val="243587"/>
                <w:sz w:val="22"/>
                <w:szCs w:val="22"/>
                <w:lang w:eastAsia="el-GR"/>
              </w:rPr>
              <w:t>,</w:t>
            </w:r>
            <w:r>
              <w:rPr>
                <w:rFonts w:ascii="Calibri" w:eastAsia="Times New Roman" w:hAnsi="Calibri" w:cs="Calibri"/>
                <w:color w:val="243587"/>
                <w:sz w:val="22"/>
                <w:szCs w:val="22"/>
                <w:lang w:val="el-GR" w:eastAsia="el-GR"/>
              </w:rPr>
              <w:t>4</w:t>
            </w:r>
            <w:r w:rsidRPr="001B289C">
              <w:rPr>
                <w:rFonts w:ascii="Calibri" w:eastAsia="Times New Roman" w:hAnsi="Calibri" w:cs="Calibri"/>
                <w:color w:val="243587"/>
                <w:sz w:val="22"/>
                <w:szCs w:val="22"/>
                <w:lang w:eastAsia="el-GR"/>
              </w:rPr>
              <w:t>)</w:t>
            </w:r>
          </w:p>
        </w:tc>
        <w:tc>
          <w:tcPr>
            <w:tcW w:w="1285" w:type="dxa"/>
            <w:tcBorders>
              <w:top w:val="single" w:sz="4" w:space="0" w:color="002677"/>
              <w:left w:val="nil"/>
              <w:bottom w:val="single" w:sz="4" w:space="0" w:color="002677"/>
              <w:right w:val="nil"/>
            </w:tcBorders>
            <w:vAlign w:val="center"/>
            <w:hideMark/>
          </w:tcPr>
          <w:p w14:paraId="110ABA46" w14:textId="77777777" w:rsidR="00B4517C" w:rsidRPr="001B289C" w:rsidRDefault="00B4517C" w:rsidP="001B289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w:t>
            </w:r>
          </w:p>
        </w:tc>
      </w:tr>
    </w:tbl>
    <w:p w14:paraId="3C5F082A" w14:textId="77777777" w:rsidR="00D027F7" w:rsidRPr="00D027F7" w:rsidRDefault="00D027F7" w:rsidP="00D027F7">
      <w:pPr>
        <w:spacing w:after="120"/>
        <w:jc w:val="both"/>
        <w:rPr>
          <w:rFonts w:cstheme="minorHAnsi"/>
          <w:color w:val="243587"/>
          <w:sz w:val="18"/>
          <w:szCs w:val="18"/>
          <w:lang w:val="el-GR"/>
        </w:rPr>
      </w:pPr>
      <w:r w:rsidRPr="00D027F7">
        <w:rPr>
          <w:rFonts w:cstheme="minorHAnsi"/>
          <w:color w:val="243587"/>
          <w:sz w:val="18"/>
          <w:szCs w:val="18"/>
          <w:lang w:val="el-GR"/>
        </w:rPr>
        <w:t>Σημείωση</w:t>
      </w:r>
      <w:r>
        <w:rPr>
          <w:rFonts w:cstheme="minorHAnsi"/>
          <w:color w:val="243587"/>
          <w:sz w:val="18"/>
          <w:szCs w:val="18"/>
          <w:lang w:val="el-GR"/>
        </w:rPr>
        <w:t>:</w:t>
      </w:r>
    </w:p>
    <w:p w14:paraId="0E62446D" w14:textId="53F84A74" w:rsidR="00B4517C" w:rsidRPr="00D027F7" w:rsidRDefault="00B4517C" w:rsidP="00D027F7">
      <w:pPr>
        <w:pStyle w:val="ListParagraph"/>
        <w:numPr>
          <w:ilvl w:val="0"/>
          <w:numId w:val="3"/>
        </w:numPr>
        <w:ind w:left="142" w:hanging="142"/>
        <w:jc w:val="both"/>
        <w:rPr>
          <w:rFonts w:cstheme="minorHAnsi"/>
          <w:color w:val="243587"/>
          <w:sz w:val="18"/>
          <w:szCs w:val="18"/>
          <w:lang w:val="el-GR"/>
        </w:rPr>
      </w:pPr>
      <w:r w:rsidRPr="00D027F7">
        <w:rPr>
          <w:rFonts w:cstheme="minorHAnsi"/>
          <w:color w:val="243587"/>
          <w:sz w:val="18"/>
          <w:szCs w:val="18"/>
          <w:lang w:val="el-GR"/>
        </w:rPr>
        <w:t>Κέρδη / (Ζημίες) προ φόρων, χρηματοδοτικών και επενδυτικών αποτελεσμάτων και αποσβέσεων.</w:t>
      </w:r>
    </w:p>
    <w:bookmarkEnd w:id="2"/>
    <w:p w14:paraId="2DFD4495" w14:textId="6FE81DEE" w:rsidR="00EF61F5" w:rsidRDefault="00EF61F5" w:rsidP="00B4517C">
      <w:pPr>
        <w:pStyle w:val="FootnoteText"/>
        <w:ind w:left="720"/>
        <w:jc w:val="both"/>
        <w:rPr>
          <w:rFonts w:asciiTheme="minorHAnsi" w:eastAsiaTheme="minorHAnsi" w:hAnsiTheme="minorHAnsi" w:cstheme="minorHAnsi"/>
          <w:color w:val="243587"/>
          <w:sz w:val="16"/>
          <w:szCs w:val="16"/>
          <w:lang w:eastAsia="en-US"/>
        </w:rPr>
      </w:pPr>
    </w:p>
    <w:p w14:paraId="683CC618" w14:textId="1A28D944" w:rsidR="00EF61F5" w:rsidRDefault="00EF61F5" w:rsidP="00EF61F5">
      <w:pPr>
        <w:pStyle w:val="FootnoteText"/>
        <w:jc w:val="both"/>
        <w:rPr>
          <w:rFonts w:asciiTheme="minorHAnsi" w:eastAsiaTheme="minorHAnsi" w:hAnsiTheme="minorHAnsi" w:cstheme="minorHAnsi"/>
          <w:color w:val="243587"/>
          <w:sz w:val="16"/>
          <w:szCs w:val="16"/>
          <w:lang w:eastAsia="en-US"/>
        </w:rPr>
      </w:pPr>
      <w:bookmarkStart w:id="3" w:name="_Hlk135065146"/>
    </w:p>
    <w:tbl>
      <w:tblPr>
        <w:tblW w:w="10487"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3832"/>
        <w:gridCol w:w="1560"/>
        <w:gridCol w:w="2270"/>
        <w:gridCol w:w="1539"/>
        <w:gridCol w:w="1286"/>
      </w:tblGrid>
      <w:tr w:rsidR="00B4517C" w14:paraId="1DF15568" w14:textId="77777777" w:rsidTr="00B4517C">
        <w:trPr>
          <w:trHeight w:val="162"/>
        </w:trPr>
        <w:tc>
          <w:tcPr>
            <w:tcW w:w="3832" w:type="dxa"/>
            <w:tcBorders>
              <w:top w:val="single" w:sz="4" w:space="0" w:color="002677"/>
              <w:left w:val="nil"/>
              <w:bottom w:val="single" w:sz="4" w:space="0" w:color="002677"/>
              <w:right w:val="nil"/>
            </w:tcBorders>
            <w:shd w:val="clear" w:color="auto" w:fill="002677"/>
            <w:vAlign w:val="center"/>
            <w:hideMark/>
          </w:tcPr>
          <w:p w14:paraId="0E69130E" w14:textId="56CAFF8C" w:rsidR="00B4517C" w:rsidRPr="00D027F7" w:rsidRDefault="00B4517C" w:rsidP="00B4517C">
            <w:pPr>
              <w:rPr>
                <w:rFonts w:cstheme="minorHAnsi"/>
                <w:color w:val="FFFFFF" w:themeColor="background1"/>
                <w:kern w:val="24"/>
                <w:sz w:val="22"/>
                <w:szCs w:val="22"/>
                <w:lang w:val="el-GR"/>
              </w:rPr>
            </w:pPr>
          </w:p>
        </w:tc>
        <w:tc>
          <w:tcPr>
            <w:tcW w:w="1560" w:type="dxa"/>
            <w:tcBorders>
              <w:top w:val="single" w:sz="4" w:space="0" w:color="002677"/>
              <w:left w:val="nil"/>
              <w:bottom w:val="single" w:sz="4" w:space="0" w:color="002677"/>
              <w:right w:val="nil"/>
            </w:tcBorders>
            <w:shd w:val="clear" w:color="auto" w:fill="002677"/>
            <w:vAlign w:val="center"/>
          </w:tcPr>
          <w:p w14:paraId="700CBD86"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33CFBBC9" w14:textId="77777777" w:rsidR="00B4517C" w:rsidRP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w:t>
            </w:r>
            <w:r>
              <w:rPr>
                <w:rFonts w:cstheme="minorHAnsi"/>
                <w:color w:val="FFFFFF" w:themeColor="background1"/>
                <w:kern w:val="24"/>
                <w:sz w:val="22"/>
                <w:szCs w:val="22"/>
                <w:lang w:val="el-GR"/>
              </w:rPr>
              <w:t>19</w:t>
            </w:r>
          </w:p>
        </w:tc>
        <w:tc>
          <w:tcPr>
            <w:tcW w:w="2270" w:type="dxa"/>
            <w:tcBorders>
              <w:top w:val="single" w:sz="4" w:space="0" w:color="002677"/>
              <w:left w:val="nil"/>
              <w:bottom w:val="single" w:sz="4" w:space="0" w:color="002677"/>
              <w:right w:val="nil"/>
            </w:tcBorders>
            <w:shd w:val="clear" w:color="auto" w:fill="002677"/>
            <w:vAlign w:val="center"/>
            <w:hideMark/>
          </w:tcPr>
          <w:p w14:paraId="4363DC78"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690DC840" w14:textId="77777777" w:rsidR="00B4517C" w:rsidRPr="00B969ED"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539" w:type="dxa"/>
            <w:tcBorders>
              <w:top w:val="single" w:sz="4" w:space="0" w:color="002677"/>
              <w:left w:val="nil"/>
              <w:bottom w:val="single" w:sz="4" w:space="0" w:color="002677"/>
              <w:right w:val="nil"/>
            </w:tcBorders>
            <w:shd w:val="clear" w:color="auto" w:fill="002677"/>
            <w:vAlign w:val="center"/>
            <w:hideMark/>
          </w:tcPr>
          <w:p w14:paraId="50C8253A"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29490414"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286" w:type="dxa"/>
            <w:tcBorders>
              <w:top w:val="single" w:sz="4" w:space="0" w:color="002677"/>
              <w:left w:val="nil"/>
              <w:bottom w:val="single" w:sz="4" w:space="0" w:color="002677"/>
              <w:right w:val="nil"/>
            </w:tcBorders>
            <w:shd w:val="clear" w:color="auto" w:fill="002677"/>
            <w:vAlign w:val="center"/>
            <w:hideMark/>
          </w:tcPr>
          <w:p w14:paraId="712E3D38"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proofErr w:type="spellStart"/>
            <w:r>
              <w:rPr>
                <w:rFonts w:cstheme="minorHAnsi"/>
                <w:color w:val="FFFFFF" w:themeColor="background1"/>
                <w:kern w:val="24"/>
                <w:sz w:val="22"/>
                <w:szCs w:val="22"/>
                <w:lang w:val="el-GR"/>
              </w:rPr>
              <w:t>μτβ</w:t>
            </w:r>
            <w:proofErr w:type="spellEnd"/>
          </w:p>
          <w:p w14:paraId="15EF71E7" w14:textId="4DDCAB44" w:rsidR="00B4517C" w:rsidRDefault="00A828C5"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‘22/‘23</w:t>
            </w:r>
          </w:p>
        </w:tc>
      </w:tr>
      <w:tr w:rsidR="00B4517C" w14:paraId="09D91D73" w14:textId="77777777" w:rsidTr="00B4517C">
        <w:trPr>
          <w:trHeight w:val="198"/>
        </w:trPr>
        <w:tc>
          <w:tcPr>
            <w:tcW w:w="3832" w:type="dxa"/>
            <w:tcBorders>
              <w:top w:val="single" w:sz="4" w:space="0" w:color="002677"/>
              <w:left w:val="nil"/>
              <w:bottom w:val="single" w:sz="4" w:space="0" w:color="002677"/>
              <w:right w:val="nil"/>
            </w:tcBorders>
            <w:vAlign w:val="center"/>
            <w:hideMark/>
          </w:tcPr>
          <w:p w14:paraId="4E6629E2" w14:textId="53E484C2" w:rsidR="00B4517C" w:rsidRDefault="00B4517C" w:rsidP="00B4517C">
            <w:pPr>
              <w:rPr>
                <w:rFonts w:eastAsia="Times New Roman" w:cstheme="minorHAnsi"/>
                <w:color w:val="243587"/>
                <w:sz w:val="22"/>
                <w:szCs w:val="22"/>
                <w:lang w:eastAsia="el-GR"/>
              </w:rPr>
            </w:pPr>
            <w:r>
              <w:rPr>
                <w:rFonts w:cstheme="minorHAnsi"/>
                <w:color w:val="243587"/>
                <w:sz w:val="22"/>
                <w:szCs w:val="22"/>
                <w:lang w:val="el-GR"/>
              </w:rPr>
              <w:t>Σύνολο Επιβατών (‘000)</w:t>
            </w:r>
          </w:p>
        </w:tc>
        <w:tc>
          <w:tcPr>
            <w:tcW w:w="1560" w:type="dxa"/>
            <w:tcBorders>
              <w:top w:val="single" w:sz="4" w:space="0" w:color="002677"/>
              <w:left w:val="nil"/>
              <w:bottom w:val="single" w:sz="4" w:space="0" w:color="002677"/>
              <w:right w:val="nil"/>
            </w:tcBorders>
            <w:vAlign w:val="center"/>
          </w:tcPr>
          <w:p w14:paraId="4061984C" w14:textId="39495F96" w:rsidR="00B4517C" w:rsidRPr="00B4517C" w:rsidRDefault="00B4517C" w:rsidP="00B4517C">
            <w:pPr>
              <w:jc w:val="center"/>
              <w:rPr>
                <w:rFonts w:ascii="Calibri" w:eastAsia="Times New Roman" w:hAnsi="Calibri" w:cs="Calibri"/>
                <w:color w:val="243587"/>
                <w:sz w:val="22"/>
                <w:szCs w:val="22"/>
                <w:lang w:eastAsia="el-GR"/>
              </w:rPr>
            </w:pPr>
            <w:r w:rsidRPr="00B4517C">
              <w:rPr>
                <w:rFonts w:ascii="Calibri" w:eastAsia="Times New Roman" w:hAnsi="Calibri" w:cs="Calibri"/>
                <w:color w:val="243587"/>
                <w:sz w:val="22"/>
                <w:szCs w:val="22"/>
                <w:lang w:eastAsia="el-GR"/>
              </w:rPr>
              <w:t>2.525</w:t>
            </w:r>
          </w:p>
        </w:tc>
        <w:tc>
          <w:tcPr>
            <w:tcW w:w="2270" w:type="dxa"/>
            <w:tcBorders>
              <w:top w:val="single" w:sz="4" w:space="0" w:color="002677"/>
              <w:left w:val="nil"/>
              <w:bottom w:val="single" w:sz="4" w:space="0" w:color="002677"/>
              <w:right w:val="nil"/>
            </w:tcBorders>
            <w:vAlign w:val="center"/>
            <w:hideMark/>
          </w:tcPr>
          <w:p w14:paraId="7B1C633D" w14:textId="65C6255F"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1.502</w:t>
            </w:r>
          </w:p>
        </w:tc>
        <w:tc>
          <w:tcPr>
            <w:tcW w:w="1539" w:type="dxa"/>
            <w:tcBorders>
              <w:top w:val="single" w:sz="4" w:space="0" w:color="002677"/>
              <w:left w:val="nil"/>
              <w:bottom w:val="single" w:sz="4" w:space="0" w:color="002677"/>
              <w:right w:val="nil"/>
            </w:tcBorders>
            <w:shd w:val="clear" w:color="auto" w:fill="EFF2F9"/>
            <w:vAlign w:val="center"/>
            <w:hideMark/>
          </w:tcPr>
          <w:p w14:paraId="0B180DE1" w14:textId="46E8500E"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2.581</w:t>
            </w:r>
          </w:p>
        </w:tc>
        <w:tc>
          <w:tcPr>
            <w:tcW w:w="1286" w:type="dxa"/>
            <w:tcBorders>
              <w:top w:val="single" w:sz="4" w:space="0" w:color="002677"/>
              <w:left w:val="nil"/>
              <w:bottom w:val="single" w:sz="4" w:space="0" w:color="002677"/>
              <w:right w:val="nil"/>
            </w:tcBorders>
            <w:vAlign w:val="center"/>
            <w:hideMark/>
          </w:tcPr>
          <w:p w14:paraId="34D927D0" w14:textId="087C7EB4"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72%</w:t>
            </w:r>
          </w:p>
        </w:tc>
      </w:tr>
      <w:tr w:rsidR="00B4517C" w14:paraId="2F5D8B3A" w14:textId="77777777" w:rsidTr="00B4517C">
        <w:trPr>
          <w:trHeight w:val="218"/>
        </w:trPr>
        <w:tc>
          <w:tcPr>
            <w:tcW w:w="3832" w:type="dxa"/>
            <w:tcBorders>
              <w:top w:val="single" w:sz="4" w:space="0" w:color="002677"/>
              <w:left w:val="nil"/>
              <w:bottom w:val="single" w:sz="4" w:space="0" w:color="002677"/>
              <w:right w:val="nil"/>
            </w:tcBorders>
            <w:vAlign w:val="center"/>
            <w:hideMark/>
          </w:tcPr>
          <w:p w14:paraId="694B71CF" w14:textId="408C200C" w:rsidR="00B4517C" w:rsidRPr="00B4517C" w:rsidRDefault="00B4517C" w:rsidP="00B4517C">
            <w:pPr>
              <w:rPr>
                <w:rFonts w:cstheme="minorHAnsi"/>
                <w:color w:val="243587"/>
                <w:sz w:val="22"/>
                <w:szCs w:val="22"/>
                <w:lang w:val="el-GR"/>
              </w:rPr>
            </w:pPr>
            <w:r>
              <w:rPr>
                <w:rFonts w:cstheme="minorHAnsi"/>
                <w:color w:val="243587"/>
                <w:sz w:val="22"/>
                <w:szCs w:val="22"/>
                <w:lang w:val="el-GR"/>
              </w:rPr>
              <w:t>Χιλιομετρικοί επιβάτες (</w:t>
            </w:r>
            <w:r w:rsidRPr="001526FF">
              <w:rPr>
                <w:rFonts w:cstheme="minorHAnsi"/>
                <w:color w:val="243587"/>
                <w:sz w:val="22"/>
                <w:szCs w:val="22"/>
              </w:rPr>
              <w:t>RPKs</w:t>
            </w:r>
            <w:r w:rsidRPr="00A22CED">
              <w:rPr>
                <w:rFonts w:cstheme="minorHAnsi"/>
                <w:color w:val="243587"/>
                <w:sz w:val="22"/>
                <w:szCs w:val="22"/>
                <w:lang w:val="el-GR"/>
              </w:rPr>
              <w:t xml:space="preserve"> </w:t>
            </w:r>
            <w:r>
              <w:rPr>
                <w:rFonts w:cstheme="minorHAnsi"/>
                <w:color w:val="243587"/>
                <w:sz w:val="22"/>
                <w:szCs w:val="22"/>
                <w:lang w:val="el-GR"/>
              </w:rPr>
              <w:t>σε εκατ.)</w:t>
            </w:r>
          </w:p>
        </w:tc>
        <w:tc>
          <w:tcPr>
            <w:tcW w:w="1560" w:type="dxa"/>
            <w:tcBorders>
              <w:top w:val="single" w:sz="4" w:space="0" w:color="002677"/>
              <w:left w:val="nil"/>
              <w:bottom w:val="single" w:sz="4" w:space="0" w:color="002677"/>
              <w:right w:val="nil"/>
            </w:tcBorders>
            <w:vAlign w:val="center"/>
          </w:tcPr>
          <w:p w14:paraId="0E59F269" w14:textId="1E375817" w:rsidR="00B4517C" w:rsidRPr="00B4517C" w:rsidRDefault="00B4517C" w:rsidP="00B4517C">
            <w:pPr>
              <w:jc w:val="center"/>
              <w:rPr>
                <w:rFonts w:ascii="Calibri" w:eastAsia="Times New Roman" w:hAnsi="Calibri" w:cs="Calibri"/>
                <w:color w:val="243587"/>
                <w:sz w:val="22"/>
                <w:szCs w:val="22"/>
                <w:lang w:eastAsia="el-GR"/>
              </w:rPr>
            </w:pPr>
            <w:r w:rsidRPr="00B4517C">
              <w:rPr>
                <w:rFonts w:ascii="Calibri" w:eastAsia="Times New Roman" w:hAnsi="Calibri" w:cs="Calibri"/>
                <w:color w:val="243587"/>
                <w:sz w:val="22"/>
                <w:szCs w:val="22"/>
                <w:lang w:eastAsia="el-GR"/>
              </w:rPr>
              <w:t>2.482</w:t>
            </w:r>
          </w:p>
        </w:tc>
        <w:tc>
          <w:tcPr>
            <w:tcW w:w="2270" w:type="dxa"/>
            <w:tcBorders>
              <w:top w:val="single" w:sz="4" w:space="0" w:color="002677"/>
              <w:left w:val="nil"/>
              <w:bottom w:val="single" w:sz="4" w:space="0" w:color="002677"/>
              <w:right w:val="nil"/>
            </w:tcBorders>
            <w:vAlign w:val="center"/>
            <w:hideMark/>
          </w:tcPr>
          <w:p w14:paraId="2BB56250" w14:textId="6FCACCFE" w:rsidR="00B4517C" w:rsidRPr="001B289C" w:rsidRDefault="00B4517C" w:rsidP="00B4517C">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1.455</w:t>
            </w:r>
          </w:p>
        </w:tc>
        <w:tc>
          <w:tcPr>
            <w:tcW w:w="1539" w:type="dxa"/>
            <w:tcBorders>
              <w:top w:val="single" w:sz="4" w:space="0" w:color="002677"/>
              <w:left w:val="nil"/>
              <w:bottom w:val="single" w:sz="4" w:space="0" w:color="002677"/>
              <w:right w:val="nil"/>
            </w:tcBorders>
            <w:shd w:val="clear" w:color="auto" w:fill="EFF2F9"/>
            <w:vAlign w:val="center"/>
            <w:hideMark/>
          </w:tcPr>
          <w:p w14:paraId="68896B6E" w14:textId="41193624" w:rsidR="00B4517C" w:rsidRPr="00471E8C" w:rsidRDefault="00B4517C" w:rsidP="00B4517C">
            <w:pPr>
              <w:jc w:val="center"/>
              <w:rPr>
                <w:rFonts w:ascii="Calibri" w:eastAsia="Times New Roman" w:hAnsi="Calibri" w:cs="Calibri"/>
                <w:color w:val="243587"/>
                <w:sz w:val="22"/>
                <w:szCs w:val="22"/>
                <w:lang w:val="el-GR" w:eastAsia="el-GR"/>
              </w:rPr>
            </w:pPr>
            <w:r w:rsidRPr="00874556">
              <w:rPr>
                <w:rFonts w:ascii="Calibri" w:eastAsia="Times New Roman" w:hAnsi="Calibri" w:cs="Calibri"/>
                <w:color w:val="243587"/>
                <w:sz w:val="22"/>
                <w:szCs w:val="22"/>
                <w:lang w:eastAsia="el-GR"/>
              </w:rPr>
              <w:t>2.715</w:t>
            </w:r>
          </w:p>
        </w:tc>
        <w:tc>
          <w:tcPr>
            <w:tcW w:w="1286" w:type="dxa"/>
            <w:tcBorders>
              <w:top w:val="single" w:sz="4" w:space="0" w:color="002677"/>
              <w:left w:val="nil"/>
              <w:bottom w:val="single" w:sz="4" w:space="0" w:color="002677"/>
              <w:right w:val="nil"/>
            </w:tcBorders>
            <w:vAlign w:val="center"/>
            <w:hideMark/>
          </w:tcPr>
          <w:p w14:paraId="7AEB4907" w14:textId="28972197" w:rsidR="00B4517C" w:rsidRPr="001B289C" w:rsidRDefault="00B4517C" w:rsidP="00B4517C">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87%</w:t>
            </w:r>
          </w:p>
        </w:tc>
      </w:tr>
      <w:tr w:rsidR="00B4517C" w14:paraId="6A8F2675" w14:textId="77777777" w:rsidTr="00B4517C">
        <w:trPr>
          <w:trHeight w:val="233"/>
        </w:trPr>
        <w:tc>
          <w:tcPr>
            <w:tcW w:w="3832" w:type="dxa"/>
            <w:tcBorders>
              <w:top w:val="single" w:sz="4" w:space="0" w:color="002677"/>
              <w:left w:val="nil"/>
              <w:bottom w:val="single" w:sz="4" w:space="0" w:color="002677"/>
              <w:right w:val="nil"/>
            </w:tcBorders>
            <w:vAlign w:val="center"/>
            <w:hideMark/>
          </w:tcPr>
          <w:p w14:paraId="32B30950" w14:textId="703DDA15" w:rsidR="00B4517C" w:rsidRDefault="00B4517C" w:rsidP="00B4517C">
            <w:pPr>
              <w:rPr>
                <w:rFonts w:eastAsia="Times New Roman" w:cstheme="minorHAnsi"/>
                <w:color w:val="243587"/>
                <w:sz w:val="22"/>
                <w:szCs w:val="22"/>
                <w:lang w:val="el-GR" w:eastAsia="el-GR"/>
              </w:rPr>
            </w:pPr>
            <w:r>
              <w:rPr>
                <w:rFonts w:cstheme="minorHAnsi"/>
                <w:color w:val="243587"/>
                <w:sz w:val="22"/>
                <w:szCs w:val="22"/>
                <w:lang w:val="el-GR"/>
              </w:rPr>
              <w:t>Χιλιομετρικές Θέσεις (</w:t>
            </w:r>
            <w:r>
              <w:rPr>
                <w:rFonts w:cstheme="minorHAnsi"/>
                <w:color w:val="243587"/>
                <w:sz w:val="22"/>
                <w:szCs w:val="22"/>
              </w:rPr>
              <w:t>ASK</w:t>
            </w:r>
            <w:r>
              <w:rPr>
                <w:rFonts w:cstheme="minorHAnsi"/>
                <w:color w:val="243587"/>
                <w:sz w:val="22"/>
                <w:szCs w:val="22"/>
                <w:lang w:val="en-US"/>
              </w:rPr>
              <w:t>s</w:t>
            </w:r>
            <w:r>
              <w:rPr>
                <w:rFonts w:cstheme="minorHAnsi"/>
                <w:color w:val="243587"/>
                <w:sz w:val="22"/>
                <w:szCs w:val="22"/>
                <w:lang w:val="el-GR"/>
              </w:rPr>
              <w:t xml:space="preserve"> σε εκατ.)</w:t>
            </w:r>
          </w:p>
        </w:tc>
        <w:tc>
          <w:tcPr>
            <w:tcW w:w="1560" w:type="dxa"/>
            <w:tcBorders>
              <w:top w:val="single" w:sz="4" w:space="0" w:color="002677"/>
              <w:left w:val="nil"/>
              <w:bottom w:val="single" w:sz="4" w:space="0" w:color="002677"/>
              <w:right w:val="nil"/>
            </w:tcBorders>
            <w:vAlign w:val="center"/>
          </w:tcPr>
          <w:p w14:paraId="1979025B" w14:textId="0FE44FBE" w:rsidR="00B4517C" w:rsidRPr="00B4517C" w:rsidRDefault="00B4517C" w:rsidP="00B4517C">
            <w:pPr>
              <w:jc w:val="center"/>
              <w:rPr>
                <w:rFonts w:ascii="Calibri" w:eastAsia="Times New Roman" w:hAnsi="Calibri" w:cs="Calibri"/>
                <w:color w:val="243587"/>
                <w:sz w:val="22"/>
                <w:szCs w:val="22"/>
                <w:lang w:eastAsia="el-GR"/>
              </w:rPr>
            </w:pPr>
            <w:r w:rsidRPr="00B4517C">
              <w:rPr>
                <w:rFonts w:ascii="Calibri" w:eastAsia="Times New Roman" w:hAnsi="Calibri" w:cs="Calibri"/>
                <w:color w:val="243587"/>
                <w:sz w:val="22"/>
                <w:szCs w:val="22"/>
                <w:lang w:eastAsia="el-GR"/>
              </w:rPr>
              <w:t>3.015</w:t>
            </w:r>
          </w:p>
        </w:tc>
        <w:tc>
          <w:tcPr>
            <w:tcW w:w="2270" w:type="dxa"/>
            <w:tcBorders>
              <w:top w:val="single" w:sz="4" w:space="0" w:color="002677"/>
              <w:left w:val="nil"/>
              <w:bottom w:val="single" w:sz="4" w:space="0" w:color="002677"/>
              <w:right w:val="nil"/>
            </w:tcBorders>
            <w:vAlign w:val="center"/>
            <w:hideMark/>
          </w:tcPr>
          <w:p w14:paraId="525C0AB0" w14:textId="48C8A064"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2.211</w:t>
            </w:r>
          </w:p>
        </w:tc>
        <w:tc>
          <w:tcPr>
            <w:tcW w:w="1539" w:type="dxa"/>
            <w:tcBorders>
              <w:top w:val="single" w:sz="4" w:space="0" w:color="002677"/>
              <w:left w:val="nil"/>
              <w:bottom w:val="single" w:sz="4" w:space="0" w:color="002677"/>
              <w:right w:val="nil"/>
            </w:tcBorders>
            <w:shd w:val="clear" w:color="auto" w:fill="EFF2F9"/>
            <w:vAlign w:val="center"/>
            <w:hideMark/>
          </w:tcPr>
          <w:p w14:paraId="3012F388" w14:textId="3C1204D8"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3.340</w:t>
            </w:r>
          </w:p>
        </w:tc>
        <w:tc>
          <w:tcPr>
            <w:tcW w:w="1286" w:type="dxa"/>
            <w:tcBorders>
              <w:top w:val="single" w:sz="4" w:space="0" w:color="002677"/>
              <w:left w:val="nil"/>
              <w:bottom w:val="single" w:sz="4" w:space="0" w:color="002677"/>
              <w:right w:val="nil"/>
            </w:tcBorders>
            <w:vAlign w:val="center"/>
            <w:hideMark/>
          </w:tcPr>
          <w:p w14:paraId="621569F7" w14:textId="203A8F0D"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51%</w:t>
            </w:r>
          </w:p>
        </w:tc>
      </w:tr>
      <w:tr w:rsidR="00B4517C" w14:paraId="3F8E727D" w14:textId="77777777" w:rsidTr="00B4517C">
        <w:trPr>
          <w:trHeight w:val="347"/>
        </w:trPr>
        <w:tc>
          <w:tcPr>
            <w:tcW w:w="3832" w:type="dxa"/>
            <w:tcBorders>
              <w:top w:val="single" w:sz="4" w:space="0" w:color="002677"/>
              <w:left w:val="nil"/>
              <w:bottom w:val="single" w:sz="4" w:space="0" w:color="002677"/>
              <w:right w:val="nil"/>
            </w:tcBorders>
            <w:vAlign w:val="center"/>
            <w:hideMark/>
          </w:tcPr>
          <w:p w14:paraId="143ED72E" w14:textId="77777777" w:rsidR="00B4517C" w:rsidRDefault="00B4517C" w:rsidP="00B4517C">
            <w:pPr>
              <w:rPr>
                <w:rFonts w:cstheme="minorHAnsi"/>
                <w:color w:val="243587"/>
                <w:sz w:val="22"/>
                <w:szCs w:val="22"/>
                <w:lang w:val="el-GR"/>
              </w:rPr>
            </w:pPr>
            <w:r>
              <w:rPr>
                <w:rFonts w:cstheme="minorHAnsi"/>
                <w:color w:val="243587"/>
                <w:sz w:val="22"/>
                <w:szCs w:val="22"/>
                <w:lang w:val="el-GR"/>
              </w:rPr>
              <w:t>Συντελεστής Πληρότητας</w:t>
            </w:r>
            <w:r w:rsidRPr="00DE6D11">
              <w:rPr>
                <w:rFonts w:cstheme="minorHAnsi"/>
                <w:color w:val="243587"/>
                <w:sz w:val="22"/>
                <w:szCs w:val="22"/>
                <w:lang w:val="el-GR"/>
              </w:rPr>
              <w:t xml:space="preserve"> </w:t>
            </w:r>
          </w:p>
          <w:p w14:paraId="10C34EC4" w14:textId="107A4015" w:rsidR="00B4517C" w:rsidRDefault="00B4517C" w:rsidP="00B4517C">
            <w:pPr>
              <w:rPr>
                <w:rFonts w:eastAsia="Times New Roman" w:cstheme="minorHAnsi"/>
                <w:color w:val="243587"/>
                <w:sz w:val="22"/>
                <w:szCs w:val="22"/>
                <w:lang w:val="el-GR" w:eastAsia="el-GR"/>
              </w:rPr>
            </w:pPr>
            <w:r>
              <w:rPr>
                <w:rFonts w:cstheme="minorHAnsi"/>
                <w:color w:val="243587"/>
                <w:sz w:val="22"/>
                <w:szCs w:val="22"/>
                <w:lang w:val="el-GR"/>
              </w:rPr>
              <w:t xml:space="preserve">Τακτικές πτήσεις </w:t>
            </w:r>
            <w:r w:rsidRPr="00DE6D11">
              <w:rPr>
                <w:rFonts w:cstheme="minorHAnsi"/>
                <w:color w:val="243587"/>
                <w:sz w:val="22"/>
                <w:szCs w:val="22"/>
                <w:lang w:val="el-GR"/>
              </w:rPr>
              <w:t>(</w:t>
            </w:r>
            <w:r>
              <w:rPr>
                <w:rFonts w:cstheme="minorHAnsi"/>
                <w:color w:val="243587"/>
                <w:sz w:val="22"/>
                <w:szCs w:val="22"/>
              </w:rPr>
              <w:t>RPK</w:t>
            </w:r>
            <w:r w:rsidRPr="00DE6D11">
              <w:rPr>
                <w:rFonts w:cstheme="minorHAnsi"/>
                <w:color w:val="243587"/>
                <w:sz w:val="22"/>
                <w:szCs w:val="22"/>
                <w:lang w:val="el-GR"/>
              </w:rPr>
              <w:t>/</w:t>
            </w:r>
            <w:r>
              <w:rPr>
                <w:rFonts w:cstheme="minorHAnsi"/>
                <w:color w:val="243587"/>
                <w:sz w:val="22"/>
                <w:szCs w:val="22"/>
              </w:rPr>
              <w:t>ASK</w:t>
            </w:r>
            <w:r w:rsidRPr="00DE6D11">
              <w:rPr>
                <w:rFonts w:cstheme="minorHAnsi"/>
                <w:color w:val="243587"/>
                <w:sz w:val="22"/>
                <w:szCs w:val="22"/>
                <w:lang w:val="el-GR"/>
              </w:rPr>
              <w:t>)</w:t>
            </w:r>
          </w:p>
        </w:tc>
        <w:tc>
          <w:tcPr>
            <w:tcW w:w="1560" w:type="dxa"/>
            <w:tcBorders>
              <w:top w:val="single" w:sz="4" w:space="0" w:color="002677"/>
              <w:left w:val="nil"/>
              <w:bottom w:val="single" w:sz="4" w:space="0" w:color="002677"/>
              <w:right w:val="nil"/>
            </w:tcBorders>
            <w:vAlign w:val="center"/>
          </w:tcPr>
          <w:p w14:paraId="2FB17D23" w14:textId="44D3E618" w:rsidR="00B4517C" w:rsidRPr="00B4517C" w:rsidRDefault="00B4517C" w:rsidP="00B4517C">
            <w:pPr>
              <w:jc w:val="center"/>
              <w:rPr>
                <w:rFonts w:ascii="Calibri" w:eastAsia="Times New Roman" w:hAnsi="Calibri" w:cs="Calibri"/>
                <w:color w:val="243587"/>
                <w:sz w:val="22"/>
                <w:szCs w:val="22"/>
                <w:lang w:eastAsia="el-GR"/>
              </w:rPr>
            </w:pPr>
            <w:r w:rsidRPr="00B4517C">
              <w:rPr>
                <w:rFonts w:ascii="Calibri" w:eastAsia="Times New Roman" w:hAnsi="Calibri" w:cs="Calibri"/>
                <w:color w:val="243587"/>
                <w:sz w:val="22"/>
                <w:szCs w:val="22"/>
                <w:lang w:eastAsia="el-GR"/>
              </w:rPr>
              <w:t>82,3%</w:t>
            </w:r>
          </w:p>
        </w:tc>
        <w:tc>
          <w:tcPr>
            <w:tcW w:w="2270" w:type="dxa"/>
            <w:tcBorders>
              <w:top w:val="single" w:sz="4" w:space="0" w:color="002677"/>
              <w:left w:val="nil"/>
              <w:bottom w:val="single" w:sz="4" w:space="0" w:color="002677"/>
              <w:right w:val="nil"/>
            </w:tcBorders>
            <w:vAlign w:val="center"/>
            <w:hideMark/>
          </w:tcPr>
          <w:p w14:paraId="471A6994" w14:textId="591BEE3B"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66,1%</w:t>
            </w:r>
          </w:p>
        </w:tc>
        <w:tc>
          <w:tcPr>
            <w:tcW w:w="1539" w:type="dxa"/>
            <w:tcBorders>
              <w:top w:val="single" w:sz="4" w:space="0" w:color="002677"/>
              <w:left w:val="nil"/>
              <w:bottom w:val="single" w:sz="4" w:space="0" w:color="002677"/>
              <w:right w:val="nil"/>
            </w:tcBorders>
            <w:shd w:val="clear" w:color="auto" w:fill="EFF2F9"/>
            <w:vAlign w:val="center"/>
            <w:hideMark/>
          </w:tcPr>
          <w:p w14:paraId="5B511FA4" w14:textId="51754A7B"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81,6%</w:t>
            </w:r>
          </w:p>
        </w:tc>
        <w:tc>
          <w:tcPr>
            <w:tcW w:w="1286" w:type="dxa"/>
            <w:tcBorders>
              <w:top w:val="single" w:sz="4" w:space="0" w:color="002677"/>
              <w:left w:val="nil"/>
              <w:bottom w:val="single" w:sz="4" w:space="0" w:color="002677"/>
              <w:right w:val="nil"/>
            </w:tcBorders>
            <w:vAlign w:val="center"/>
            <w:hideMark/>
          </w:tcPr>
          <w:p w14:paraId="5237BE5A" w14:textId="5C1B1188" w:rsidR="00B4517C" w:rsidRPr="001B289C" w:rsidRDefault="00B4517C" w:rsidP="00B4517C">
            <w:pPr>
              <w:jc w:val="center"/>
              <w:rPr>
                <w:rFonts w:ascii="Calibri" w:eastAsia="Times New Roman" w:hAnsi="Calibri" w:cs="Calibri"/>
                <w:color w:val="243587"/>
                <w:sz w:val="22"/>
                <w:szCs w:val="22"/>
                <w:lang w:eastAsia="el-GR"/>
              </w:rPr>
            </w:pPr>
            <w:r w:rsidRPr="001B289C">
              <w:rPr>
                <w:rFonts w:ascii="Calibri" w:eastAsia="Times New Roman" w:hAnsi="Calibri" w:cs="Calibri"/>
                <w:color w:val="243587"/>
                <w:sz w:val="22"/>
                <w:szCs w:val="22"/>
                <w:lang w:eastAsia="el-GR"/>
              </w:rPr>
              <w:t>15,5pp</w:t>
            </w:r>
          </w:p>
        </w:tc>
      </w:tr>
    </w:tbl>
    <w:p w14:paraId="2C23C4DF" w14:textId="09FD2F4C" w:rsidR="00B4517C" w:rsidRDefault="00B4517C" w:rsidP="00EF61F5">
      <w:pPr>
        <w:pStyle w:val="FootnoteText"/>
        <w:jc w:val="both"/>
        <w:rPr>
          <w:rFonts w:asciiTheme="minorHAnsi" w:eastAsiaTheme="minorHAnsi" w:hAnsiTheme="minorHAnsi" w:cstheme="minorHAnsi"/>
          <w:color w:val="243587"/>
          <w:sz w:val="16"/>
          <w:szCs w:val="16"/>
          <w:lang w:eastAsia="en-US"/>
        </w:rPr>
      </w:pPr>
    </w:p>
    <w:p w14:paraId="28F3D979" w14:textId="77777777" w:rsidR="00B4517C" w:rsidRDefault="00B4517C" w:rsidP="00B4517C">
      <w:pPr>
        <w:spacing w:after="120"/>
        <w:jc w:val="both"/>
        <w:rPr>
          <w:rFonts w:cstheme="minorHAnsi"/>
          <w:b/>
          <w:bCs/>
          <w:color w:val="243587"/>
          <w:sz w:val="22"/>
          <w:szCs w:val="22"/>
          <w:lang w:val="el-GR"/>
        </w:rPr>
      </w:pPr>
    </w:p>
    <w:bookmarkEnd w:id="3"/>
    <w:p w14:paraId="02ABCD65" w14:textId="4B397D4A" w:rsidR="00B4517C" w:rsidRDefault="00B4517C" w:rsidP="00B4517C">
      <w:pPr>
        <w:spacing w:after="120"/>
        <w:jc w:val="both"/>
        <w:rPr>
          <w:rFonts w:cstheme="minorHAnsi"/>
          <w:b/>
          <w:bCs/>
          <w:color w:val="243587"/>
          <w:sz w:val="22"/>
          <w:szCs w:val="22"/>
          <w:lang w:val="el-GR"/>
        </w:rPr>
      </w:pPr>
      <w:r>
        <w:rPr>
          <w:rFonts w:cstheme="minorHAnsi"/>
          <w:b/>
          <w:bCs/>
          <w:color w:val="243587"/>
          <w:sz w:val="22"/>
          <w:szCs w:val="22"/>
          <w:lang w:val="el-GR"/>
        </w:rPr>
        <w:t>Παρουσίαση των βασικών οικονομικών και οργανικών αποτελεσμάτων</w:t>
      </w:r>
      <w:r w:rsidR="00D027F7">
        <w:rPr>
          <w:rFonts w:cstheme="minorHAnsi"/>
          <w:b/>
          <w:bCs/>
          <w:color w:val="243587"/>
          <w:sz w:val="22"/>
          <w:szCs w:val="22"/>
          <w:lang w:val="el-GR"/>
        </w:rPr>
        <w:t xml:space="preserve"> του πρώτου τριμήνου του 2022 και 2023 </w:t>
      </w:r>
      <w:r>
        <w:rPr>
          <w:rFonts w:cstheme="minorHAnsi"/>
          <w:b/>
          <w:bCs/>
          <w:color w:val="243587"/>
          <w:sz w:val="22"/>
          <w:szCs w:val="22"/>
          <w:lang w:val="el-GR"/>
        </w:rPr>
        <w:t>ως ποσοστό των αντίστοιχων αποτελεσμάτων της περιόδου του 2019.</w:t>
      </w:r>
    </w:p>
    <w:p w14:paraId="693F9F26" w14:textId="77777777" w:rsidR="00B4517C" w:rsidRDefault="00B4517C" w:rsidP="00EF61F5">
      <w:pPr>
        <w:pStyle w:val="FootnoteText"/>
        <w:jc w:val="both"/>
        <w:rPr>
          <w:rFonts w:asciiTheme="minorHAnsi" w:eastAsiaTheme="minorHAnsi" w:hAnsiTheme="minorHAnsi" w:cstheme="minorHAnsi"/>
          <w:color w:val="243587"/>
          <w:sz w:val="16"/>
          <w:szCs w:val="16"/>
          <w:lang w:eastAsia="en-US"/>
        </w:rPr>
      </w:pPr>
    </w:p>
    <w:tbl>
      <w:tblPr>
        <w:tblW w:w="10487"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3832"/>
        <w:gridCol w:w="1560"/>
        <w:gridCol w:w="2270"/>
        <w:gridCol w:w="1539"/>
        <w:gridCol w:w="1286"/>
      </w:tblGrid>
      <w:tr w:rsidR="00B4517C" w14:paraId="16B8428E" w14:textId="77777777" w:rsidTr="00D027F7">
        <w:trPr>
          <w:trHeight w:val="162"/>
        </w:trPr>
        <w:tc>
          <w:tcPr>
            <w:tcW w:w="3832" w:type="dxa"/>
            <w:tcBorders>
              <w:top w:val="single" w:sz="4" w:space="0" w:color="002677"/>
              <w:left w:val="nil"/>
              <w:bottom w:val="single" w:sz="4" w:space="0" w:color="002677"/>
              <w:right w:val="nil"/>
            </w:tcBorders>
            <w:shd w:val="clear" w:color="auto" w:fill="002677"/>
            <w:vAlign w:val="center"/>
            <w:hideMark/>
          </w:tcPr>
          <w:p w14:paraId="4070AB17" w14:textId="77777777" w:rsidR="00B4517C" w:rsidRPr="00B4517C" w:rsidRDefault="00B4517C" w:rsidP="00B4517C">
            <w:pPr>
              <w:rPr>
                <w:rFonts w:cstheme="minorHAnsi"/>
                <w:color w:val="FFFFFF" w:themeColor="background1"/>
                <w:kern w:val="24"/>
                <w:sz w:val="22"/>
                <w:szCs w:val="22"/>
                <w:lang w:val="el-GR"/>
              </w:rPr>
            </w:pPr>
            <w:bookmarkStart w:id="4" w:name="_Hlk135065301"/>
            <w:bookmarkStart w:id="5" w:name="_Hlk134822751"/>
          </w:p>
        </w:tc>
        <w:tc>
          <w:tcPr>
            <w:tcW w:w="1560" w:type="dxa"/>
            <w:tcBorders>
              <w:top w:val="single" w:sz="4" w:space="0" w:color="002677"/>
              <w:left w:val="nil"/>
              <w:bottom w:val="single" w:sz="4" w:space="0" w:color="002677"/>
              <w:right w:val="nil"/>
            </w:tcBorders>
            <w:shd w:val="clear" w:color="auto" w:fill="002677"/>
            <w:vAlign w:val="center"/>
          </w:tcPr>
          <w:p w14:paraId="3D606859"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368FF3C0" w14:textId="77777777" w:rsidR="00B4517C" w:rsidRP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w:t>
            </w:r>
            <w:r>
              <w:rPr>
                <w:rFonts w:cstheme="minorHAnsi"/>
                <w:color w:val="FFFFFF" w:themeColor="background1"/>
                <w:kern w:val="24"/>
                <w:sz w:val="22"/>
                <w:szCs w:val="22"/>
                <w:lang w:val="el-GR"/>
              </w:rPr>
              <w:t>19</w:t>
            </w:r>
          </w:p>
        </w:tc>
        <w:tc>
          <w:tcPr>
            <w:tcW w:w="2270" w:type="dxa"/>
            <w:tcBorders>
              <w:top w:val="single" w:sz="4" w:space="0" w:color="002677"/>
              <w:left w:val="nil"/>
              <w:bottom w:val="single" w:sz="4" w:space="0" w:color="002677"/>
              <w:right w:val="nil"/>
            </w:tcBorders>
            <w:shd w:val="clear" w:color="auto" w:fill="002677"/>
            <w:vAlign w:val="center"/>
            <w:hideMark/>
          </w:tcPr>
          <w:p w14:paraId="4B86E949"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11B07BE0" w14:textId="77777777" w:rsidR="00B4517C" w:rsidRPr="00B969ED"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539" w:type="dxa"/>
            <w:tcBorders>
              <w:top w:val="single" w:sz="4" w:space="0" w:color="002677"/>
              <w:left w:val="nil"/>
              <w:bottom w:val="single" w:sz="4" w:space="0" w:color="002677"/>
              <w:right w:val="nil"/>
            </w:tcBorders>
            <w:shd w:val="clear" w:color="auto" w:fill="002677"/>
            <w:vAlign w:val="center"/>
            <w:hideMark/>
          </w:tcPr>
          <w:p w14:paraId="3A8CF87F"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4D25FBD9" w14:textId="77777777" w:rsidR="00B4517C" w:rsidRDefault="00B4517C" w:rsidP="00B4517C">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286" w:type="dxa"/>
            <w:tcBorders>
              <w:top w:val="single" w:sz="4" w:space="0" w:color="002677"/>
              <w:left w:val="nil"/>
              <w:bottom w:val="single" w:sz="4" w:space="0" w:color="002677"/>
              <w:right w:val="nil"/>
            </w:tcBorders>
            <w:shd w:val="clear" w:color="auto" w:fill="002677"/>
            <w:vAlign w:val="center"/>
          </w:tcPr>
          <w:p w14:paraId="1A99BB6F" w14:textId="1C22E15B" w:rsidR="00B4517C" w:rsidRDefault="00B4517C" w:rsidP="00B4517C">
            <w:pPr>
              <w:jc w:val="center"/>
              <w:rPr>
                <w:rFonts w:cstheme="minorHAnsi"/>
                <w:color w:val="FFFFFF" w:themeColor="background1"/>
                <w:kern w:val="24"/>
                <w:sz w:val="22"/>
                <w:szCs w:val="22"/>
                <w:lang w:val="el-GR"/>
              </w:rPr>
            </w:pPr>
          </w:p>
        </w:tc>
      </w:tr>
      <w:tr w:rsidR="00B4517C" w14:paraId="69B1F1F7" w14:textId="77777777" w:rsidTr="00D027F7">
        <w:trPr>
          <w:trHeight w:val="233"/>
        </w:trPr>
        <w:tc>
          <w:tcPr>
            <w:tcW w:w="3832" w:type="dxa"/>
            <w:tcBorders>
              <w:top w:val="single" w:sz="4" w:space="0" w:color="002677"/>
              <w:left w:val="nil"/>
              <w:bottom w:val="single" w:sz="4" w:space="0" w:color="002677"/>
              <w:right w:val="nil"/>
            </w:tcBorders>
            <w:vAlign w:val="center"/>
            <w:hideMark/>
          </w:tcPr>
          <w:p w14:paraId="48EDD357" w14:textId="4C91339F" w:rsidR="00B4517C" w:rsidRDefault="00B4517C" w:rsidP="00B4517C">
            <w:pPr>
              <w:rPr>
                <w:rFonts w:eastAsia="Times New Roman" w:cstheme="minorHAnsi"/>
                <w:color w:val="243587"/>
                <w:sz w:val="22"/>
                <w:szCs w:val="22"/>
                <w:lang w:val="el-GR" w:eastAsia="el-GR"/>
              </w:rPr>
            </w:pPr>
            <w:r>
              <w:rPr>
                <w:rFonts w:cstheme="minorHAnsi"/>
                <w:color w:val="243587"/>
                <w:sz w:val="22"/>
                <w:szCs w:val="22"/>
                <w:lang w:val="el-GR"/>
              </w:rPr>
              <w:t>Χιλιομετρικές Θέσεις (</w:t>
            </w:r>
            <w:r>
              <w:rPr>
                <w:rFonts w:cstheme="minorHAnsi"/>
                <w:color w:val="243587"/>
                <w:sz w:val="22"/>
                <w:szCs w:val="22"/>
              </w:rPr>
              <w:t>ASK</w:t>
            </w:r>
            <w:r>
              <w:rPr>
                <w:rFonts w:cstheme="minorHAnsi"/>
                <w:color w:val="243587"/>
                <w:sz w:val="22"/>
                <w:szCs w:val="22"/>
                <w:lang w:val="en-US"/>
              </w:rPr>
              <w:t>s</w:t>
            </w:r>
            <w:r>
              <w:rPr>
                <w:rFonts w:cstheme="minorHAnsi"/>
                <w:color w:val="243587"/>
                <w:sz w:val="22"/>
                <w:szCs w:val="22"/>
                <w:lang w:val="el-GR"/>
              </w:rPr>
              <w:t>)</w:t>
            </w:r>
          </w:p>
        </w:tc>
        <w:tc>
          <w:tcPr>
            <w:tcW w:w="1560" w:type="dxa"/>
            <w:tcBorders>
              <w:top w:val="single" w:sz="4" w:space="0" w:color="002677"/>
              <w:left w:val="nil"/>
              <w:bottom w:val="single" w:sz="4" w:space="0" w:color="002677"/>
              <w:right w:val="nil"/>
            </w:tcBorders>
            <w:vAlign w:val="center"/>
          </w:tcPr>
          <w:p w14:paraId="66D17B75" w14:textId="2899E93C" w:rsidR="00B4517C" w:rsidRPr="00B4517C" w:rsidRDefault="00B4517C" w:rsidP="00B4517C">
            <w:pPr>
              <w:jc w:val="center"/>
              <w:rPr>
                <w:rFonts w:ascii="Calibri" w:eastAsia="Times New Roman" w:hAnsi="Calibri" w:cs="Calibri"/>
                <w:color w:val="243587"/>
                <w:sz w:val="22"/>
                <w:szCs w:val="22"/>
                <w:lang w:val="el-GR" w:eastAsia="el-GR"/>
              </w:rPr>
            </w:pPr>
            <w:r>
              <w:rPr>
                <w:rFonts w:ascii="Calibri" w:eastAsia="Times New Roman" w:hAnsi="Calibri" w:cs="Calibri"/>
                <w:color w:val="243587"/>
                <w:sz w:val="22"/>
                <w:szCs w:val="22"/>
                <w:lang w:val="el-GR" w:eastAsia="el-GR"/>
              </w:rPr>
              <w:t>100%</w:t>
            </w:r>
          </w:p>
        </w:tc>
        <w:tc>
          <w:tcPr>
            <w:tcW w:w="2270" w:type="dxa"/>
            <w:tcBorders>
              <w:top w:val="single" w:sz="4" w:space="0" w:color="002677"/>
              <w:left w:val="nil"/>
              <w:bottom w:val="single" w:sz="4" w:space="0" w:color="002677"/>
              <w:right w:val="nil"/>
            </w:tcBorders>
            <w:vAlign w:val="center"/>
          </w:tcPr>
          <w:p w14:paraId="0D7A22F4" w14:textId="567ACB75" w:rsidR="00B4517C" w:rsidRPr="00D027F7" w:rsidRDefault="00D027F7" w:rsidP="00B4517C">
            <w:pPr>
              <w:jc w:val="center"/>
              <w:rPr>
                <w:rFonts w:ascii="Calibri" w:eastAsia="Times New Roman" w:hAnsi="Calibri" w:cs="Calibri"/>
                <w:color w:val="243587"/>
                <w:sz w:val="22"/>
                <w:szCs w:val="22"/>
                <w:lang w:val="el-GR" w:eastAsia="el-GR"/>
              </w:rPr>
            </w:pPr>
            <w:r>
              <w:rPr>
                <w:rFonts w:ascii="Calibri" w:eastAsia="Times New Roman" w:hAnsi="Calibri" w:cs="Calibri"/>
                <w:color w:val="243587"/>
                <w:sz w:val="22"/>
                <w:szCs w:val="22"/>
                <w:lang w:val="el-GR" w:eastAsia="el-GR"/>
              </w:rPr>
              <w:t>73%</w:t>
            </w:r>
          </w:p>
        </w:tc>
        <w:tc>
          <w:tcPr>
            <w:tcW w:w="1539" w:type="dxa"/>
            <w:tcBorders>
              <w:top w:val="single" w:sz="4" w:space="0" w:color="002677"/>
              <w:left w:val="nil"/>
              <w:bottom w:val="single" w:sz="4" w:space="0" w:color="002677"/>
              <w:right w:val="nil"/>
            </w:tcBorders>
            <w:shd w:val="clear" w:color="auto" w:fill="EFF2F9"/>
            <w:vAlign w:val="center"/>
          </w:tcPr>
          <w:p w14:paraId="219BB040" w14:textId="1C5520F8" w:rsidR="00B4517C" w:rsidRPr="00D027F7" w:rsidRDefault="00D027F7" w:rsidP="00B4517C">
            <w:pPr>
              <w:jc w:val="center"/>
              <w:rPr>
                <w:rFonts w:ascii="Calibri" w:eastAsia="Times New Roman" w:hAnsi="Calibri" w:cs="Calibri"/>
                <w:color w:val="243587"/>
                <w:sz w:val="22"/>
                <w:szCs w:val="22"/>
                <w:lang w:val="el-GR" w:eastAsia="el-GR"/>
              </w:rPr>
            </w:pPr>
            <w:r>
              <w:rPr>
                <w:rFonts w:ascii="Calibri" w:eastAsia="Times New Roman" w:hAnsi="Calibri" w:cs="Calibri"/>
                <w:color w:val="243587"/>
                <w:sz w:val="22"/>
                <w:szCs w:val="22"/>
                <w:lang w:val="el-GR" w:eastAsia="el-GR"/>
              </w:rPr>
              <w:t>111%</w:t>
            </w:r>
          </w:p>
        </w:tc>
        <w:tc>
          <w:tcPr>
            <w:tcW w:w="1286" w:type="dxa"/>
            <w:tcBorders>
              <w:top w:val="single" w:sz="4" w:space="0" w:color="002677"/>
              <w:left w:val="nil"/>
              <w:bottom w:val="single" w:sz="4" w:space="0" w:color="002677"/>
              <w:right w:val="nil"/>
            </w:tcBorders>
            <w:vAlign w:val="center"/>
          </w:tcPr>
          <w:p w14:paraId="6CC55745" w14:textId="52A24F53" w:rsidR="00B4517C" w:rsidRPr="001B289C" w:rsidRDefault="00B4517C" w:rsidP="00B4517C">
            <w:pPr>
              <w:jc w:val="center"/>
              <w:rPr>
                <w:rFonts w:ascii="Calibri" w:eastAsia="Times New Roman" w:hAnsi="Calibri" w:cs="Calibri"/>
                <w:color w:val="243587"/>
                <w:sz w:val="22"/>
                <w:szCs w:val="22"/>
                <w:lang w:eastAsia="el-GR"/>
              </w:rPr>
            </w:pPr>
          </w:p>
        </w:tc>
      </w:tr>
      <w:tr w:rsidR="00B4517C" w14:paraId="6DA264AD" w14:textId="77777777" w:rsidTr="00D027F7">
        <w:trPr>
          <w:trHeight w:val="347"/>
        </w:trPr>
        <w:tc>
          <w:tcPr>
            <w:tcW w:w="3832" w:type="dxa"/>
            <w:tcBorders>
              <w:top w:val="single" w:sz="4" w:space="0" w:color="002677"/>
              <w:left w:val="nil"/>
              <w:bottom w:val="single" w:sz="4" w:space="0" w:color="002677"/>
              <w:right w:val="nil"/>
            </w:tcBorders>
            <w:vAlign w:val="center"/>
            <w:hideMark/>
          </w:tcPr>
          <w:p w14:paraId="13CCEE5C" w14:textId="6AAFFD64" w:rsidR="00B4517C" w:rsidRDefault="00B4517C" w:rsidP="00B4517C">
            <w:pPr>
              <w:rPr>
                <w:rFonts w:eastAsia="Times New Roman" w:cstheme="minorHAnsi"/>
                <w:color w:val="243587"/>
                <w:sz w:val="22"/>
                <w:szCs w:val="22"/>
                <w:lang w:val="el-GR" w:eastAsia="el-GR"/>
              </w:rPr>
            </w:pPr>
            <w:proofErr w:type="spellStart"/>
            <w:r>
              <w:rPr>
                <w:rFonts w:cstheme="minorHAnsi"/>
                <w:color w:val="243587"/>
                <w:sz w:val="22"/>
                <w:szCs w:val="22"/>
              </w:rPr>
              <w:t>Έσοδ</w:t>
            </w:r>
            <w:proofErr w:type="spellEnd"/>
            <w:r>
              <w:rPr>
                <w:rFonts w:cstheme="minorHAnsi"/>
                <w:color w:val="243587"/>
                <w:sz w:val="22"/>
                <w:szCs w:val="22"/>
              </w:rPr>
              <w:t>α</w:t>
            </w:r>
          </w:p>
        </w:tc>
        <w:tc>
          <w:tcPr>
            <w:tcW w:w="1560" w:type="dxa"/>
            <w:tcBorders>
              <w:top w:val="single" w:sz="4" w:space="0" w:color="002677"/>
              <w:left w:val="nil"/>
              <w:bottom w:val="single" w:sz="4" w:space="0" w:color="002677"/>
              <w:right w:val="nil"/>
            </w:tcBorders>
            <w:vAlign w:val="center"/>
          </w:tcPr>
          <w:p w14:paraId="37E10807" w14:textId="7C79A018" w:rsidR="00B4517C" w:rsidRPr="00B4517C" w:rsidRDefault="00B4517C" w:rsidP="00B4517C">
            <w:pPr>
              <w:jc w:val="center"/>
              <w:rPr>
                <w:rFonts w:ascii="Calibri" w:eastAsia="Times New Roman" w:hAnsi="Calibri" w:cs="Calibri"/>
                <w:color w:val="243587"/>
                <w:sz w:val="22"/>
                <w:szCs w:val="22"/>
                <w:lang w:val="el-GR" w:eastAsia="el-GR"/>
              </w:rPr>
            </w:pPr>
            <w:r>
              <w:rPr>
                <w:rFonts w:ascii="Calibri" w:eastAsia="Times New Roman" w:hAnsi="Calibri" w:cs="Calibri"/>
                <w:color w:val="243587"/>
                <w:sz w:val="22"/>
                <w:szCs w:val="22"/>
                <w:lang w:val="el-GR" w:eastAsia="el-GR"/>
              </w:rPr>
              <w:t>100%</w:t>
            </w:r>
          </w:p>
        </w:tc>
        <w:tc>
          <w:tcPr>
            <w:tcW w:w="2270" w:type="dxa"/>
            <w:tcBorders>
              <w:top w:val="single" w:sz="4" w:space="0" w:color="002677"/>
              <w:left w:val="nil"/>
              <w:bottom w:val="single" w:sz="4" w:space="0" w:color="002677"/>
              <w:right w:val="nil"/>
            </w:tcBorders>
            <w:vAlign w:val="center"/>
          </w:tcPr>
          <w:p w14:paraId="4EFDCEC2" w14:textId="5D1C5CC3" w:rsidR="00B4517C" w:rsidRPr="00D027F7" w:rsidRDefault="00D027F7" w:rsidP="00B4517C">
            <w:pPr>
              <w:jc w:val="center"/>
              <w:rPr>
                <w:rFonts w:ascii="Calibri" w:eastAsia="Times New Roman" w:hAnsi="Calibri" w:cs="Calibri"/>
                <w:color w:val="243587"/>
                <w:sz w:val="22"/>
                <w:szCs w:val="22"/>
                <w:lang w:val="el-GR" w:eastAsia="el-GR"/>
              </w:rPr>
            </w:pPr>
            <w:r>
              <w:rPr>
                <w:rFonts w:ascii="Calibri" w:eastAsia="Times New Roman" w:hAnsi="Calibri" w:cs="Calibri"/>
                <w:color w:val="243587"/>
                <w:sz w:val="22"/>
                <w:szCs w:val="22"/>
                <w:lang w:val="el-GR" w:eastAsia="el-GR"/>
              </w:rPr>
              <w:t>70%</w:t>
            </w:r>
          </w:p>
        </w:tc>
        <w:tc>
          <w:tcPr>
            <w:tcW w:w="1539" w:type="dxa"/>
            <w:tcBorders>
              <w:top w:val="single" w:sz="4" w:space="0" w:color="002677"/>
              <w:left w:val="nil"/>
              <w:bottom w:val="single" w:sz="4" w:space="0" w:color="002677"/>
              <w:right w:val="nil"/>
            </w:tcBorders>
            <w:shd w:val="clear" w:color="auto" w:fill="EFF2F9"/>
            <w:vAlign w:val="center"/>
          </w:tcPr>
          <w:p w14:paraId="79F1B6A0" w14:textId="4EB7D5A9" w:rsidR="00B4517C" w:rsidRPr="00D027F7" w:rsidRDefault="00D027F7" w:rsidP="00B4517C">
            <w:pPr>
              <w:jc w:val="center"/>
              <w:rPr>
                <w:rFonts w:ascii="Calibri" w:eastAsia="Times New Roman" w:hAnsi="Calibri" w:cs="Calibri"/>
                <w:color w:val="243587"/>
                <w:sz w:val="22"/>
                <w:szCs w:val="22"/>
                <w:lang w:val="el-GR" w:eastAsia="el-GR"/>
              </w:rPr>
            </w:pPr>
            <w:r>
              <w:rPr>
                <w:rFonts w:ascii="Calibri" w:eastAsia="Times New Roman" w:hAnsi="Calibri" w:cs="Calibri"/>
                <w:color w:val="243587"/>
                <w:sz w:val="22"/>
                <w:szCs w:val="22"/>
                <w:lang w:val="el-GR" w:eastAsia="el-GR"/>
              </w:rPr>
              <w:t>133%</w:t>
            </w:r>
          </w:p>
        </w:tc>
        <w:tc>
          <w:tcPr>
            <w:tcW w:w="1286" w:type="dxa"/>
            <w:tcBorders>
              <w:top w:val="single" w:sz="4" w:space="0" w:color="002677"/>
              <w:left w:val="nil"/>
              <w:bottom w:val="single" w:sz="4" w:space="0" w:color="002677"/>
              <w:right w:val="nil"/>
            </w:tcBorders>
            <w:vAlign w:val="center"/>
          </w:tcPr>
          <w:p w14:paraId="48F80346" w14:textId="37C9FF04" w:rsidR="00B4517C" w:rsidRPr="001B289C" w:rsidRDefault="00B4517C" w:rsidP="00B4517C">
            <w:pPr>
              <w:jc w:val="center"/>
              <w:rPr>
                <w:rFonts w:ascii="Calibri" w:eastAsia="Times New Roman" w:hAnsi="Calibri" w:cs="Calibri"/>
                <w:color w:val="243587"/>
                <w:sz w:val="22"/>
                <w:szCs w:val="22"/>
                <w:lang w:eastAsia="el-GR"/>
              </w:rPr>
            </w:pPr>
          </w:p>
        </w:tc>
      </w:tr>
      <w:bookmarkEnd w:id="4"/>
    </w:tbl>
    <w:p w14:paraId="61D20AE1" w14:textId="77777777" w:rsidR="00B4517C" w:rsidRDefault="00B4517C" w:rsidP="008B28F3">
      <w:pPr>
        <w:spacing w:after="120"/>
        <w:jc w:val="both"/>
        <w:rPr>
          <w:rFonts w:cstheme="minorHAnsi"/>
          <w:b/>
          <w:bCs/>
          <w:color w:val="243587"/>
          <w:sz w:val="22"/>
          <w:szCs w:val="22"/>
          <w:lang w:val="el-GR"/>
        </w:rPr>
      </w:pPr>
    </w:p>
    <w:p w14:paraId="3B6674DA" w14:textId="77777777" w:rsidR="00B4517C" w:rsidRDefault="00B4517C" w:rsidP="008B28F3">
      <w:pPr>
        <w:spacing w:after="120"/>
        <w:jc w:val="both"/>
        <w:rPr>
          <w:rFonts w:cstheme="minorHAnsi"/>
          <w:b/>
          <w:bCs/>
          <w:color w:val="243587"/>
          <w:sz w:val="22"/>
          <w:szCs w:val="22"/>
          <w:lang w:val="el-GR"/>
        </w:rPr>
      </w:pPr>
    </w:p>
    <w:p w14:paraId="0BD87912" w14:textId="08DE831E" w:rsidR="00B4517C" w:rsidRDefault="00B4517C" w:rsidP="008B28F3">
      <w:pPr>
        <w:spacing w:after="120"/>
        <w:jc w:val="both"/>
        <w:rPr>
          <w:rFonts w:cstheme="minorHAnsi"/>
          <w:b/>
          <w:bCs/>
          <w:color w:val="243587"/>
          <w:sz w:val="22"/>
          <w:szCs w:val="22"/>
          <w:lang w:val="el-GR"/>
        </w:rPr>
      </w:pPr>
    </w:p>
    <w:p w14:paraId="5B58D224" w14:textId="79828A6A" w:rsidR="00D027F7" w:rsidRDefault="00D027F7" w:rsidP="008B28F3">
      <w:pPr>
        <w:spacing w:after="120"/>
        <w:jc w:val="both"/>
        <w:rPr>
          <w:rFonts w:cstheme="minorHAnsi"/>
          <w:b/>
          <w:bCs/>
          <w:color w:val="243587"/>
          <w:sz w:val="22"/>
          <w:szCs w:val="22"/>
          <w:lang w:val="el-GR"/>
        </w:rPr>
      </w:pPr>
    </w:p>
    <w:p w14:paraId="2004EE75" w14:textId="783CD258" w:rsidR="00D027F7" w:rsidRDefault="00D027F7" w:rsidP="008B28F3">
      <w:pPr>
        <w:spacing w:after="120"/>
        <w:jc w:val="both"/>
        <w:rPr>
          <w:rFonts w:cstheme="minorHAnsi"/>
          <w:b/>
          <w:bCs/>
          <w:color w:val="243587"/>
          <w:sz w:val="22"/>
          <w:szCs w:val="22"/>
          <w:lang w:val="el-GR"/>
        </w:rPr>
      </w:pPr>
    </w:p>
    <w:p w14:paraId="505E83FC" w14:textId="54FA4ADD" w:rsidR="00D027F7" w:rsidRDefault="00D027F7" w:rsidP="008B28F3">
      <w:pPr>
        <w:spacing w:after="120"/>
        <w:jc w:val="both"/>
        <w:rPr>
          <w:rFonts w:cstheme="minorHAnsi"/>
          <w:b/>
          <w:bCs/>
          <w:color w:val="243587"/>
          <w:sz w:val="22"/>
          <w:szCs w:val="22"/>
          <w:lang w:val="el-GR"/>
        </w:rPr>
      </w:pPr>
    </w:p>
    <w:p w14:paraId="2116E4D7" w14:textId="0655DCCF" w:rsidR="00D027F7" w:rsidRDefault="00D027F7" w:rsidP="008B28F3">
      <w:pPr>
        <w:spacing w:after="120"/>
        <w:jc w:val="both"/>
        <w:rPr>
          <w:rFonts w:cstheme="minorHAnsi"/>
          <w:b/>
          <w:bCs/>
          <w:color w:val="243587"/>
          <w:sz w:val="22"/>
          <w:szCs w:val="22"/>
          <w:lang w:val="el-GR"/>
        </w:rPr>
      </w:pPr>
    </w:p>
    <w:p w14:paraId="2704965E" w14:textId="76094B38" w:rsidR="00D027F7" w:rsidRDefault="00D027F7" w:rsidP="008B28F3">
      <w:pPr>
        <w:spacing w:after="120"/>
        <w:jc w:val="both"/>
        <w:rPr>
          <w:rFonts w:cstheme="minorHAnsi"/>
          <w:b/>
          <w:bCs/>
          <w:color w:val="243587"/>
          <w:sz w:val="22"/>
          <w:szCs w:val="22"/>
          <w:lang w:val="el-GR"/>
        </w:rPr>
      </w:pPr>
    </w:p>
    <w:p w14:paraId="5D979096" w14:textId="77777777" w:rsidR="00D027F7" w:rsidRDefault="00D027F7" w:rsidP="008B28F3">
      <w:pPr>
        <w:spacing w:after="120"/>
        <w:jc w:val="both"/>
        <w:rPr>
          <w:rFonts w:cstheme="minorHAnsi"/>
          <w:b/>
          <w:bCs/>
          <w:color w:val="243587"/>
          <w:sz w:val="22"/>
          <w:szCs w:val="22"/>
          <w:lang w:val="el-GR"/>
        </w:rPr>
      </w:pPr>
    </w:p>
    <w:p w14:paraId="1EEFF04C" w14:textId="77777777" w:rsidR="00B4517C" w:rsidRDefault="00B4517C" w:rsidP="008B28F3">
      <w:pPr>
        <w:spacing w:after="120"/>
        <w:jc w:val="both"/>
        <w:rPr>
          <w:rFonts w:cstheme="minorHAnsi"/>
          <w:b/>
          <w:bCs/>
          <w:color w:val="243587"/>
          <w:sz w:val="22"/>
          <w:szCs w:val="22"/>
          <w:lang w:val="el-GR"/>
        </w:rPr>
      </w:pPr>
    </w:p>
    <w:p w14:paraId="602D5B39" w14:textId="01CCB191" w:rsidR="008B28F3" w:rsidRDefault="008B28F3" w:rsidP="008B28F3">
      <w:pPr>
        <w:spacing w:after="120"/>
        <w:jc w:val="both"/>
        <w:rPr>
          <w:rFonts w:cstheme="minorHAnsi"/>
          <w:b/>
          <w:bCs/>
          <w:color w:val="243587"/>
          <w:sz w:val="22"/>
          <w:szCs w:val="22"/>
          <w:lang w:val="el-GR"/>
        </w:rPr>
      </w:pPr>
      <w:r>
        <w:rPr>
          <w:rFonts w:cstheme="minorHAnsi"/>
          <w:b/>
          <w:bCs/>
          <w:color w:val="243587"/>
          <w:sz w:val="22"/>
          <w:szCs w:val="22"/>
          <w:lang w:val="el-GR"/>
        </w:rPr>
        <w:lastRenderedPageBreak/>
        <w:t>Ανάλυση Καθαρού Δανεισμού</w:t>
      </w:r>
    </w:p>
    <w:p w14:paraId="24C4AF04" w14:textId="77777777" w:rsidR="00EC0366" w:rsidRDefault="00EC0366" w:rsidP="008B28F3">
      <w:pPr>
        <w:spacing w:after="120"/>
        <w:jc w:val="both"/>
        <w:rPr>
          <w:rFonts w:cstheme="minorHAnsi"/>
          <w:b/>
          <w:bCs/>
          <w:color w:val="243587"/>
          <w:sz w:val="22"/>
          <w:szCs w:val="22"/>
          <w:lang w:val="el-GR"/>
        </w:rPr>
      </w:pPr>
    </w:p>
    <w:tbl>
      <w:tblPr>
        <w:tblW w:w="10574" w:type="dxa"/>
        <w:tblBorders>
          <w:top w:val="single" w:sz="4" w:space="0" w:color="002677"/>
          <w:bottom w:val="single" w:sz="4" w:space="0" w:color="002677"/>
          <w:insideH w:val="single" w:sz="4" w:space="0" w:color="002677"/>
        </w:tblBorders>
        <w:tblLayout w:type="fixed"/>
        <w:tblLook w:val="04A0" w:firstRow="1" w:lastRow="0" w:firstColumn="1" w:lastColumn="0" w:noHBand="0" w:noVBand="1"/>
      </w:tblPr>
      <w:tblGrid>
        <w:gridCol w:w="4395"/>
        <w:gridCol w:w="2838"/>
        <w:gridCol w:w="3341"/>
      </w:tblGrid>
      <w:tr w:rsidR="00001381" w14:paraId="2070E877" w14:textId="77777777" w:rsidTr="00DD4F7B">
        <w:trPr>
          <w:trHeight w:val="509"/>
        </w:trPr>
        <w:tc>
          <w:tcPr>
            <w:tcW w:w="4395" w:type="dxa"/>
            <w:tcBorders>
              <w:top w:val="single" w:sz="4" w:space="0" w:color="002677"/>
              <w:left w:val="nil"/>
              <w:bottom w:val="single" w:sz="4" w:space="0" w:color="002677"/>
              <w:right w:val="nil"/>
            </w:tcBorders>
            <w:shd w:val="clear" w:color="auto" w:fill="002677"/>
            <w:vAlign w:val="center"/>
          </w:tcPr>
          <w:p w14:paraId="069AD0FB" w14:textId="724868CC" w:rsidR="00001381" w:rsidRDefault="00F31BC4" w:rsidP="008B28F3">
            <w:pPr>
              <w:rPr>
                <w:rFonts w:cstheme="minorHAnsi"/>
                <w:color w:val="FFFFFF" w:themeColor="background1"/>
                <w:kern w:val="24"/>
                <w:sz w:val="22"/>
                <w:szCs w:val="22"/>
                <w:lang w:val="el-GR"/>
              </w:rPr>
            </w:pPr>
            <w:r w:rsidRPr="001526FF">
              <w:rPr>
                <w:rFonts w:cstheme="minorHAnsi"/>
                <w:color w:val="FFFFFF" w:themeColor="background1"/>
                <w:kern w:val="24"/>
                <w:sz w:val="22"/>
                <w:szCs w:val="22"/>
                <w:lang w:val="en-US"/>
              </w:rPr>
              <w:t>(</w:t>
            </w:r>
            <w:r>
              <w:rPr>
                <w:rFonts w:cstheme="minorHAnsi"/>
                <w:color w:val="FFFFFF" w:themeColor="background1"/>
                <w:kern w:val="24"/>
                <w:sz w:val="22"/>
                <w:szCs w:val="22"/>
                <w:lang w:val="el-GR"/>
              </w:rPr>
              <w:t>σε</w:t>
            </w:r>
            <w:r w:rsidRPr="001526FF">
              <w:rPr>
                <w:rFonts w:cstheme="minorHAnsi"/>
                <w:color w:val="FFFFFF" w:themeColor="background1"/>
                <w:kern w:val="24"/>
                <w:sz w:val="22"/>
                <w:szCs w:val="22"/>
                <w:lang w:val="en-US"/>
              </w:rPr>
              <w:t xml:space="preserve"> € </w:t>
            </w:r>
            <w:proofErr w:type="spellStart"/>
            <w:r>
              <w:rPr>
                <w:rFonts w:cstheme="minorHAnsi"/>
                <w:color w:val="FFFFFF" w:themeColor="background1"/>
                <w:kern w:val="24"/>
                <w:sz w:val="22"/>
                <w:szCs w:val="22"/>
                <w:lang w:val="el-GR"/>
              </w:rPr>
              <w:t>εκατ</w:t>
            </w:r>
            <w:proofErr w:type="spellEnd"/>
            <w:r w:rsidRPr="001526FF">
              <w:rPr>
                <w:rFonts w:cstheme="minorHAnsi"/>
                <w:color w:val="FFFFFF" w:themeColor="background1"/>
                <w:kern w:val="24"/>
                <w:sz w:val="22"/>
                <w:szCs w:val="22"/>
                <w:lang w:val="en-US"/>
              </w:rPr>
              <w:t>.)</w:t>
            </w:r>
          </w:p>
        </w:tc>
        <w:tc>
          <w:tcPr>
            <w:tcW w:w="2838" w:type="dxa"/>
            <w:tcBorders>
              <w:top w:val="single" w:sz="4" w:space="0" w:color="002677"/>
              <w:left w:val="nil"/>
              <w:bottom w:val="single" w:sz="4" w:space="0" w:color="002677"/>
              <w:right w:val="nil"/>
            </w:tcBorders>
            <w:shd w:val="clear" w:color="auto" w:fill="002677"/>
            <w:vAlign w:val="center"/>
            <w:hideMark/>
          </w:tcPr>
          <w:p w14:paraId="1DAA193E" w14:textId="2C6510FC" w:rsidR="00001381" w:rsidRPr="005A1F07" w:rsidRDefault="00001381" w:rsidP="008B28F3">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31.12.2022</w:t>
            </w:r>
          </w:p>
        </w:tc>
        <w:tc>
          <w:tcPr>
            <w:tcW w:w="3341" w:type="dxa"/>
            <w:tcBorders>
              <w:top w:val="single" w:sz="4" w:space="0" w:color="002677"/>
              <w:left w:val="nil"/>
              <w:bottom w:val="single" w:sz="4" w:space="0" w:color="002677"/>
              <w:right w:val="nil"/>
            </w:tcBorders>
            <w:shd w:val="clear" w:color="auto" w:fill="002677"/>
            <w:vAlign w:val="center"/>
            <w:hideMark/>
          </w:tcPr>
          <w:p w14:paraId="40108703" w14:textId="13FF8407" w:rsidR="00001381" w:rsidRDefault="00001381" w:rsidP="008B28F3">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31.03.2023</w:t>
            </w:r>
          </w:p>
        </w:tc>
      </w:tr>
      <w:tr w:rsidR="00001381" w14:paraId="1123BC21" w14:textId="77777777" w:rsidTr="00DD4F7B">
        <w:trPr>
          <w:trHeight w:val="356"/>
        </w:trPr>
        <w:tc>
          <w:tcPr>
            <w:tcW w:w="4395" w:type="dxa"/>
            <w:tcBorders>
              <w:top w:val="single" w:sz="4" w:space="0" w:color="002677"/>
              <w:left w:val="nil"/>
              <w:bottom w:val="single" w:sz="4" w:space="0" w:color="002677"/>
              <w:right w:val="nil"/>
            </w:tcBorders>
            <w:vAlign w:val="center"/>
            <w:hideMark/>
          </w:tcPr>
          <w:p w14:paraId="6B90E813" w14:textId="401C2A98" w:rsidR="00001381" w:rsidRDefault="00001381" w:rsidP="008B28F3">
            <w:pPr>
              <w:rPr>
                <w:rFonts w:cstheme="minorHAnsi"/>
                <w:color w:val="243587"/>
                <w:sz w:val="22"/>
                <w:szCs w:val="22"/>
                <w:lang w:val="el-GR"/>
              </w:rPr>
            </w:pPr>
          </w:p>
        </w:tc>
        <w:tc>
          <w:tcPr>
            <w:tcW w:w="2838" w:type="dxa"/>
            <w:tcBorders>
              <w:top w:val="single" w:sz="4" w:space="0" w:color="002677"/>
              <w:left w:val="nil"/>
              <w:bottom w:val="single" w:sz="4" w:space="0" w:color="002677"/>
              <w:right w:val="nil"/>
            </w:tcBorders>
            <w:vAlign w:val="center"/>
          </w:tcPr>
          <w:p w14:paraId="31241E8F" w14:textId="7C058FF8" w:rsidR="00001381" w:rsidRPr="001B289C" w:rsidRDefault="00001381" w:rsidP="008B28F3">
            <w:pPr>
              <w:jc w:val="center"/>
              <w:rPr>
                <w:rFonts w:ascii="Calibri" w:eastAsia="Times New Roman" w:hAnsi="Calibri" w:cs="Calibri"/>
                <w:color w:val="243587"/>
                <w:sz w:val="22"/>
                <w:szCs w:val="22"/>
                <w:lang w:eastAsia="el-GR"/>
              </w:rPr>
            </w:pPr>
          </w:p>
        </w:tc>
        <w:tc>
          <w:tcPr>
            <w:tcW w:w="3341" w:type="dxa"/>
            <w:tcBorders>
              <w:top w:val="single" w:sz="4" w:space="0" w:color="002677"/>
              <w:left w:val="nil"/>
              <w:bottom w:val="single" w:sz="4" w:space="0" w:color="002677"/>
              <w:right w:val="nil"/>
            </w:tcBorders>
            <w:shd w:val="clear" w:color="auto" w:fill="EFF2F9"/>
            <w:vAlign w:val="center"/>
          </w:tcPr>
          <w:p w14:paraId="51B51EF4" w14:textId="789EB7FE" w:rsidR="00001381" w:rsidRPr="001B289C" w:rsidRDefault="00001381" w:rsidP="008B28F3">
            <w:pPr>
              <w:jc w:val="center"/>
              <w:rPr>
                <w:rFonts w:ascii="Calibri" w:eastAsia="Times New Roman" w:hAnsi="Calibri" w:cs="Calibri"/>
                <w:color w:val="243587"/>
                <w:sz w:val="22"/>
                <w:szCs w:val="22"/>
                <w:lang w:eastAsia="el-GR"/>
              </w:rPr>
            </w:pPr>
          </w:p>
        </w:tc>
      </w:tr>
      <w:tr w:rsidR="00001381" w:rsidRPr="008B28F3" w14:paraId="39022471" w14:textId="77777777" w:rsidTr="00DD4F7B">
        <w:trPr>
          <w:trHeight w:val="136"/>
        </w:trPr>
        <w:tc>
          <w:tcPr>
            <w:tcW w:w="4395" w:type="dxa"/>
            <w:tcBorders>
              <w:top w:val="single" w:sz="4" w:space="0" w:color="002677"/>
              <w:left w:val="nil"/>
              <w:bottom w:val="single" w:sz="4" w:space="0" w:color="002677"/>
              <w:right w:val="nil"/>
            </w:tcBorders>
            <w:vAlign w:val="center"/>
          </w:tcPr>
          <w:p w14:paraId="2884638D" w14:textId="556C1F16" w:rsidR="00001381" w:rsidRPr="008B28F3" w:rsidRDefault="00001381" w:rsidP="00001381">
            <w:pPr>
              <w:rPr>
                <w:rFonts w:cstheme="minorHAnsi"/>
                <w:color w:val="243587"/>
                <w:sz w:val="22"/>
                <w:szCs w:val="22"/>
                <w:lang w:val="el-GR"/>
              </w:rPr>
            </w:pPr>
            <w:r>
              <w:rPr>
                <w:rFonts w:cstheme="minorHAnsi"/>
                <w:color w:val="243587"/>
                <w:sz w:val="22"/>
                <w:szCs w:val="22"/>
                <w:lang w:val="el-GR"/>
              </w:rPr>
              <w:t xml:space="preserve">Σύνολο </w:t>
            </w:r>
            <w:r w:rsidRPr="00E04773">
              <w:rPr>
                <w:rFonts w:cstheme="minorHAnsi"/>
                <w:color w:val="243587"/>
                <w:sz w:val="22"/>
                <w:szCs w:val="22"/>
                <w:lang w:val="el-GR"/>
              </w:rPr>
              <w:t>ταμειακ</w:t>
            </w:r>
            <w:r>
              <w:rPr>
                <w:rFonts w:cstheme="minorHAnsi"/>
                <w:color w:val="243587"/>
                <w:sz w:val="22"/>
                <w:szCs w:val="22"/>
                <w:lang w:val="el-GR"/>
              </w:rPr>
              <w:t>ών</w:t>
            </w:r>
            <w:r w:rsidRPr="00E04773">
              <w:rPr>
                <w:rFonts w:cstheme="minorHAnsi"/>
                <w:color w:val="243587"/>
                <w:sz w:val="22"/>
                <w:szCs w:val="22"/>
                <w:lang w:val="el-GR"/>
              </w:rPr>
              <w:t xml:space="preserve"> διαθ</w:t>
            </w:r>
            <w:r>
              <w:rPr>
                <w:rFonts w:cstheme="minorHAnsi"/>
                <w:color w:val="243587"/>
                <w:sz w:val="22"/>
                <w:szCs w:val="22"/>
                <w:lang w:val="el-GR"/>
              </w:rPr>
              <w:t>εσίμων</w:t>
            </w:r>
            <w:r w:rsidRPr="00E04773">
              <w:rPr>
                <w:rFonts w:cstheme="minorHAnsi"/>
                <w:color w:val="243587"/>
                <w:sz w:val="22"/>
                <w:szCs w:val="22"/>
                <w:lang w:val="el-GR"/>
              </w:rPr>
              <w:t>, ισοδύναμ</w:t>
            </w:r>
            <w:r>
              <w:rPr>
                <w:rFonts w:cstheme="minorHAnsi"/>
                <w:color w:val="243587"/>
                <w:sz w:val="22"/>
                <w:szCs w:val="22"/>
                <w:lang w:val="el-GR"/>
              </w:rPr>
              <w:t>ων</w:t>
            </w:r>
            <w:r w:rsidRPr="00E04773">
              <w:rPr>
                <w:rFonts w:cstheme="minorHAnsi"/>
                <w:color w:val="243587"/>
                <w:sz w:val="22"/>
                <w:szCs w:val="22"/>
                <w:lang w:val="el-GR"/>
              </w:rPr>
              <w:t xml:space="preserve"> και λοιπ</w:t>
            </w:r>
            <w:r>
              <w:rPr>
                <w:rFonts w:cstheme="minorHAnsi"/>
                <w:color w:val="243587"/>
                <w:sz w:val="22"/>
                <w:szCs w:val="22"/>
                <w:lang w:val="el-GR"/>
              </w:rPr>
              <w:t>ών</w:t>
            </w:r>
            <w:r w:rsidRPr="00E04773">
              <w:rPr>
                <w:rFonts w:cstheme="minorHAnsi"/>
                <w:color w:val="243587"/>
                <w:sz w:val="22"/>
                <w:szCs w:val="22"/>
                <w:lang w:val="el-GR"/>
              </w:rPr>
              <w:t xml:space="preserve"> χρηματοοικονομικ</w:t>
            </w:r>
            <w:r>
              <w:rPr>
                <w:rFonts w:cstheme="minorHAnsi"/>
                <w:color w:val="243587"/>
                <w:sz w:val="22"/>
                <w:szCs w:val="22"/>
                <w:lang w:val="el-GR"/>
              </w:rPr>
              <w:t>ών</w:t>
            </w:r>
            <w:r w:rsidRPr="00E04773">
              <w:rPr>
                <w:rFonts w:cstheme="minorHAnsi"/>
                <w:color w:val="243587"/>
                <w:sz w:val="22"/>
                <w:szCs w:val="22"/>
                <w:lang w:val="el-GR"/>
              </w:rPr>
              <w:t xml:space="preserve"> επενδύσε</w:t>
            </w:r>
            <w:r>
              <w:rPr>
                <w:rFonts w:cstheme="minorHAnsi"/>
                <w:color w:val="243587"/>
                <w:sz w:val="22"/>
                <w:szCs w:val="22"/>
                <w:lang w:val="el-GR"/>
              </w:rPr>
              <w:t>ων</w:t>
            </w:r>
            <w:r w:rsidRPr="00E04773">
              <w:rPr>
                <w:rFonts w:cstheme="minorHAnsi"/>
                <w:color w:val="243587"/>
                <w:sz w:val="22"/>
                <w:szCs w:val="22"/>
                <w:lang w:val="el-GR"/>
              </w:rPr>
              <w:t xml:space="preserve"> </w:t>
            </w:r>
          </w:p>
        </w:tc>
        <w:tc>
          <w:tcPr>
            <w:tcW w:w="2838" w:type="dxa"/>
            <w:tcBorders>
              <w:top w:val="single" w:sz="4" w:space="0" w:color="002677"/>
              <w:left w:val="nil"/>
              <w:bottom w:val="single" w:sz="4" w:space="0" w:color="002677"/>
              <w:right w:val="nil"/>
            </w:tcBorders>
            <w:vAlign w:val="center"/>
          </w:tcPr>
          <w:p w14:paraId="79EBF189" w14:textId="552FDDC9" w:rsidR="00001381" w:rsidRPr="00001381" w:rsidRDefault="00001381" w:rsidP="00001381">
            <w:pPr>
              <w:jc w:val="center"/>
              <w:rPr>
                <w:rFonts w:ascii="Calibri" w:eastAsia="Times New Roman" w:hAnsi="Calibri" w:cs="Calibri"/>
                <w:color w:val="243587"/>
                <w:sz w:val="22"/>
                <w:szCs w:val="22"/>
                <w:lang w:eastAsia="el-GR"/>
              </w:rPr>
            </w:pPr>
            <w:r w:rsidRPr="00001381">
              <w:rPr>
                <w:rFonts w:ascii="Calibri" w:eastAsia="Times New Roman" w:hAnsi="Calibri" w:cs="Calibri"/>
                <w:color w:val="243587"/>
                <w:sz w:val="22"/>
                <w:szCs w:val="22"/>
                <w:lang w:eastAsia="el-GR"/>
              </w:rPr>
              <w:t>527,9</w:t>
            </w:r>
          </w:p>
        </w:tc>
        <w:tc>
          <w:tcPr>
            <w:tcW w:w="3341" w:type="dxa"/>
            <w:tcBorders>
              <w:top w:val="single" w:sz="4" w:space="0" w:color="002677"/>
              <w:left w:val="nil"/>
              <w:bottom w:val="single" w:sz="4" w:space="0" w:color="002677"/>
              <w:right w:val="nil"/>
            </w:tcBorders>
            <w:shd w:val="clear" w:color="auto" w:fill="EFF2F9"/>
            <w:vAlign w:val="center"/>
          </w:tcPr>
          <w:p w14:paraId="6B9E0263" w14:textId="77C4762B" w:rsidR="00001381" w:rsidRPr="00001381" w:rsidRDefault="00001381" w:rsidP="00001381">
            <w:pPr>
              <w:jc w:val="center"/>
              <w:rPr>
                <w:rFonts w:ascii="Calibri" w:eastAsia="Times New Roman" w:hAnsi="Calibri" w:cs="Calibri"/>
                <w:color w:val="243587"/>
                <w:sz w:val="22"/>
                <w:szCs w:val="22"/>
                <w:lang w:eastAsia="el-GR"/>
              </w:rPr>
            </w:pPr>
            <w:r w:rsidRPr="00001381">
              <w:rPr>
                <w:rFonts w:ascii="Calibri" w:eastAsia="Times New Roman" w:hAnsi="Calibri" w:cs="Calibri"/>
                <w:color w:val="243587"/>
                <w:sz w:val="22"/>
                <w:szCs w:val="22"/>
                <w:lang w:eastAsia="el-GR"/>
              </w:rPr>
              <w:t>591,1</w:t>
            </w:r>
          </w:p>
        </w:tc>
      </w:tr>
      <w:tr w:rsidR="00001381" w:rsidRPr="00001381" w14:paraId="602C3B09" w14:textId="77777777" w:rsidTr="00DD4F7B">
        <w:trPr>
          <w:trHeight w:val="136"/>
        </w:trPr>
        <w:tc>
          <w:tcPr>
            <w:tcW w:w="4395" w:type="dxa"/>
            <w:tcBorders>
              <w:top w:val="single" w:sz="4" w:space="0" w:color="002677"/>
              <w:left w:val="nil"/>
              <w:bottom w:val="single" w:sz="4" w:space="0" w:color="002677"/>
              <w:right w:val="nil"/>
            </w:tcBorders>
            <w:vAlign w:val="center"/>
          </w:tcPr>
          <w:p w14:paraId="223CC3F1" w14:textId="1A5CCC48" w:rsidR="00001381" w:rsidRPr="00001381" w:rsidRDefault="00001381" w:rsidP="00001381">
            <w:pPr>
              <w:rPr>
                <w:rFonts w:cstheme="minorHAnsi"/>
                <w:color w:val="243587"/>
                <w:sz w:val="22"/>
                <w:szCs w:val="22"/>
                <w:lang w:val="el-GR"/>
              </w:rPr>
            </w:pPr>
            <w:r w:rsidRPr="00001381">
              <w:rPr>
                <w:rFonts w:cstheme="minorHAnsi"/>
                <w:color w:val="243587"/>
                <w:sz w:val="22"/>
                <w:szCs w:val="22"/>
                <w:lang w:val="el-GR"/>
              </w:rPr>
              <w:t xml:space="preserve">Δανειακές υποχρεώσεις </w:t>
            </w:r>
          </w:p>
        </w:tc>
        <w:tc>
          <w:tcPr>
            <w:tcW w:w="2838" w:type="dxa"/>
            <w:tcBorders>
              <w:top w:val="single" w:sz="4" w:space="0" w:color="002677"/>
              <w:left w:val="nil"/>
              <w:bottom w:val="single" w:sz="4" w:space="0" w:color="002677"/>
              <w:right w:val="nil"/>
            </w:tcBorders>
            <w:vAlign w:val="center"/>
          </w:tcPr>
          <w:p w14:paraId="1035B392" w14:textId="46F636B9" w:rsidR="00001381" w:rsidRPr="00001381" w:rsidRDefault="00001381" w:rsidP="00001381">
            <w:pPr>
              <w:jc w:val="center"/>
              <w:rPr>
                <w:rFonts w:ascii="Calibri" w:eastAsia="Times New Roman" w:hAnsi="Calibri" w:cs="Calibri"/>
                <w:color w:val="243587"/>
                <w:sz w:val="22"/>
                <w:szCs w:val="22"/>
                <w:lang w:eastAsia="el-GR"/>
              </w:rPr>
            </w:pPr>
            <w:r w:rsidRPr="00001381">
              <w:rPr>
                <w:rFonts w:ascii="Calibri" w:eastAsia="Times New Roman" w:hAnsi="Calibri" w:cs="Calibri"/>
                <w:color w:val="243587"/>
                <w:sz w:val="22"/>
                <w:szCs w:val="22"/>
                <w:lang w:eastAsia="el-GR"/>
              </w:rPr>
              <w:t>268,2</w:t>
            </w:r>
          </w:p>
        </w:tc>
        <w:tc>
          <w:tcPr>
            <w:tcW w:w="3341" w:type="dxa"/>
            <w:tcBorders>
              <w:top w:val="single" w:sz="4" w:space="0" w:color="002677"/>
              <w:left w:val="nil"/>
              <w:bottom w:val="single" w:sz="4" w:space="0" w:color="002677"/>
              <w:right w:val="nil"/>
            </w:tcBorders>
            <w:shd w:val="clear" w:color="auto" w:fill="EFF2F9"/>
            <w:vAlign w:val="center"/>
          </w:tcPr>
          <w:p w14:paraId="7736924C" w14:textId="6E9E2EA5" w:rsidR="00001381" w:rsidRPr="00001381" w:rsidRDefault="00001381" w:rsidP="00001381">
            <w:pPr>
              <w:jc w:val="center"/>
              <w:rPr>
                <w:rFonts w:ascii="Calibri" w:eastAsia="Times New Roman" w:hAnsi="Calibri" w:cs="Calibri"/>
                <w:color w:val="243587"/>
                <w:sz w:val="22"/>
                <w:szCs w:val="22"/>
                <w:lang w:eastAsia="el-GR"/>
              </w:rPr>
            </w:pPr>
            <w:r w:rsidRPr="00001381">
              <w:rPr>
                <w:rFonts w:ascii="Calibri" w:eastAsia="Times New Roman" w:hAnsi="Calibri" w:cs="Calibri"/>
                <w:color w:val="243587"/>
                <w:sz w:val="22"/>
                <w:szCs w:val="22"/>
                <w:lang w:eastAsia="el-GR"/>
              </w:rPr>
              <w:t>197,7</w:t>
            </w:r>
          </w:p>
        </w:tc>
      </w:tr>
      <w:tr w:rsidR="00001381" w:rsidRPr="00001381" w14:paraId="4DF04976" w14:textId="77777777" w:rsidTr="00DD4F7B">
        <w:trPr>
          <w:trHeight w:val="136"/>
        </w:trPr>
        <w:tc>
          <w:tcPr>
            <w:tcW w:w="4395" w:type="dxa"/>
            <w:tcBorders>
              <w:top w:val="single" w:sz="4" w:space="0" w:color="002677"/>
              <w:left w:val="nil"/>
              <w:bottom w:val="single" w:sz="4" w:space="0" w:color="002677"/>
              <w:right w:val="nil"/>
            </w:tcBorders>
            <w:vAlign w:val="center"/>
          </w:tcPr>
          <w:p w14:paraId="3DFA50F8" w14:textId="67CDC2E1" w:rsidR="00001381" w:rsidRDefault="00001381" w:rsidP="00001381">
            <w:pPr>
              <w:rPr>
                <w:rFonts w:cstheme="minorHAnsi"/>
                <w:color w:val="243587"/>
                <w:sz w:val="22"/>
                <w:szCs w:val="22"/>
                <w:lang w:val="el-GR"/>
              </w:rPr>
            </w:pPr>
            <w:r w:rsidRPr="00001381">
              <w:rPr>
                <w:rFonts w:cstheme="minorHAnsi"/>
                <w:color w:val="243587"/>
                <w:sz w:val="22"/>
                <w:szCs w:val="22"/>
                <w:lang w:val="el-GR"/>
              </w:rPr>
              <w:t>Υποχρεώσεις από μισθώσεις</w:t>
            </w:r>
          </w:p>
        </w:tc>
        <w:tc>
          <w:tcPr>
            <w:tcW w:w="2838" w:type="dxa"/>
            <w:tcBorders>
              <w:top w:val="single" w:sz="4" w:space="0" w:color="002677"/>
              <w:left w:val="nil"/>
              <w:bottom w:val="single" w:sz="4" w:space="0" w:color="002677"/>
              <w:right w:val="nil"/>
            </w:tcBorders>
            <w:vAlign w:val="center"/>
          </w:tcPr>
          <w:p w14:paraId="470108EB" w14:textId="45706F2B" w:rsidR="00001381" w:rsidRPr="00001381" w:rsidRDefault="00001381" w:rsidP="00001381">
            <w:pPr>
              <w:jc w:val="center"/>
              <w:rPr>
                <w:rFonts w:ascii="Calibri" w:eastAsia="Times New Roman" w:hAnsi="Calibri" w:cs="Calibri"/>
                <w:color w:val="243587"/>
                <w:sz w:val="22"/>
                <w:szCs w:val="22"/>
                <w:lang w:eastAsia="el-GR"/>
              </w:rPr>
            </w:pPr>
            <w:r w:rsidRPr="00001381">
              <w:rPr>
                <w:rFonts w:ascii="Calibri" w:eastAsia="Times New Roman" w:hAnsi="Calibri" w:cs="Calibri"/>
                <w:color w:val="243587"/>
                <w:sz w:val="22"/>
                <w:szCs w:val="22"/>
                <w:lang w:eastAsia="el-GR"/>
              </w:rPr>
              <w:t>737,3</w:t>
            </w:r>
          </w:p>
        </w:tc>
        <w:tc>
          <w:tcPr>
            <w:tcW w:w="3341" w:type="dxa"/>
            <w:tcBorders>
              <w:top w:val="single" w:sz="4" w:space="0" w:color="002677"/>
              <w:left w:val="nil"/>
              <w:bottom w:val="single" w:sz="4" w:space="0" w:color="002677"/>
              <w:right w:val="nil"/>
            </w:tcBorders>
            <w:shd w:val="clear" w:color="auto" w:fill="EFF2F9"/>
            <w:vAlign w:val="center"/>
          </w:tcPr>
          <w:p w14:paraId="0DBFFC83" w14:textId="0565AEF3" w:rsidR="00001381" w:rsidRPr="00001381" w:rsidRDefault="00001381" w:rsidP="00001381">
            <w:pPr>
              <w:jc w:val="center"/>
              <w:rPr>
                <w:rFonts w:ascii="Calibri" w:eastAsia="Times New Roman" w:hAnsi="Calibri" w:cs="Calibri"/>
                <w:color w:val="243587"/>
                <w:sz w:val="22"/>
                <w:szCs w:val="22"/>
                <w:lang w:eastAsia="el-GR"/>
              </w:rPr>
            </w:pPr>
            <w:r w:rsidRPr="00001381">
              <w:rPr>
                <w:rFonts w:ascii="Calibri" w:eastAsia="Times New Roman" w:hAnsi="Calibri" w:cs="Calibri"/>
                <w:color w:val="243587"/>
                <w:sz w:val="22"/>
                <w:szCs w:val="22"/>
                <w:lang w:eastAsia="el-GR"/>
              </w:rPr>
              <w:t>812,6</w:t>
            </w:r>
          </w:p>
        </w:tc>
      </w:tr>
      <w:tr w:rsidR="00001381" w:rsidRPr="00001381" w14:paraId="60490173" w14:textId="77777777" w:rsidTr="00DD4F7B">
        <w:trPr>
          <w:trHeight w:val="136"/>
        </w:trPr>
        <w:tc>
          <w:tcPr>
            <w:tcW w:w="4395" w:type="dxa"/>
            <w:tcBorders>
              <w:top w:val="single" w:sz="4" w:space="0" w:color="002677"/>
              <w:left w:val="nil"/>
              <w:bottom w:val="single" w:sz="4" w:space="0" w:color="002677"/>
              <w:right w:val="nil"/>
            </w:tcBorders>
            <w:vAlign w:val="center"/>
          </w:tcPr>
          <w:p w14:paraId="163F1294" w14:textId="55206435" w:rsidR="00001381" w:rsidRPr="00593407" w:rsidRDefault="00001381" w:rsidP="00001381">
            <w:pPr>
              <w:rPr>
                <w:rFonts w:cstheme="minorHAnsi"/>
                <w:b/>
                <w:bCs/>
                <w:color w:val="243587"/>
                <w:sz w:val="22"/>
                <w:szCs w:val="22"/>
                <w:lang w:val="el-GR"/>
              </w:rPr>
            </w:pPr>
            <w:r w:rsidRPr="00593407">
              <w:rPr>
                <w:rFonts w:cstheme="minorHAnsi"/>
                <w:b/>
                <w:bCs/>
                <w:color w:val="243587"/>
                <w:sz w:val="22"/>
                <w:szCs w:val="22"/>
                <w:lang w:val="el-GR"/>
              </w:rPr>
              <w:t>Καθαρός Δανεισμός</w:t>
            </w:r>
          </w:p>
        </w:tc>
        <w:tc>
          <w:tcPr>
            <w:tcW w:w="2838" w:type="dxa"/>
            <w:tcBorders>
              <w:top w:val="single" w:sz="4" w:space="0" w:color="002677"/>
              <w:left w:val="nil"/>
              <w:bottom w:val="single" w:sz="4" w:space="0" w:color="002677"/>
              <w:right w:val="nil"/>
            </w:tcBorders>
            <w:vAlign w:val="center"/>
          </w:tcPr>
          <w:p w14:paraId="0CB88206" w14:textId="5E07F25C" w:rsidR="00001381" w:rsidRPr="00593407" w:rsidRDefault="00001381" w:rsidP="00001381">
            <w:pPr>
              <w:jc w:val="center"/>
              <w:rPr>
                <w:rFonts w:ascii="Calibri" w:eastAsia="Times New Roman" w:hAnsi="Calibri" w:cs="Calibri"/>
                <w:b/>
                <w:bCs/>
                <w:color w:val="243587"/>
                <w:sz w:val="22"/>
                <w:szCs w:val="22"/>
                <w:lang w:eastAsia="el-GR"/>
              </w:rPr>
            </w:pPr>
            <w:r w:rsidRPr="00593407">
              <w:rPr>
                <w:rFonts w:ascii="Calibri" w:eastAsia="Times New Roman" w:hAnsi="Calibri" w:cs="Calibri"/>
                <w:b/>
                <w:bCs/>
                <w:color w:val="243587"/>
                <w:sz w:val="22"/>
                <w:szCs w:val="22"/>
                <w:lang w:eastAsia="el-GR"/>
              </w:rPr>
              <w:t>477,6</w:t>
            </w:r>
          </w:p>
        </w:tc>
        <w:tc>
          <w:tcPr>
            <w:tcW w:w="3341" w:type="dxa"/>
            <w:tcBorders>
              <w:top w:val="single" w:sz="4" w:space="0" w:color="002677"/>
              <w:left w:val="nil"/>
              <w:bottom w:val="single" w:sz="4" w:space="0" w:color="002677"/>
              <w:right w:val="nil"/>
            </w:tcBorders>
            <w:shd w:val="clear" w:color="auto" w:fill="EFF2F9"/>
            <w:vAlign w:val="center"/>
          </w:tcPr>
          <w:p w14:paraId="1D60D3E2" w14:textId="71E993DA" w:rsidR="00001381" w:rsidRPr="00593407" w:rsidRDefault="00001381" w:rsidP="00001381">
            <w:pPr>
              <w:jc w:val="center"/>
              <w:rPr>
                <w:rFonts w:ascii="Calibri" w:eastAsia="Times New Roman" w:hAnsi="Calibri" w:cs="Calibri"/>
                <w:b/>
                <w:bCs/>
                <w:color w:val="243587"/>
                <w:sz w:val="22"/>
                <w:szCs w:val="22"/>
                <w:lang w:eastAsia="el-GR"/>
              </w:rPr>
            </w:pPr>
            <w:r w:rsidRPr="00593407">
              <w:rPr>
                <w:rFonts w:ascii="Calibri" w:eastAsia="Times New Roman" w:hAnsi="Calibri" w:cs="Calibri"/>
                <w:b/>
                <w:bCs/>
                <w:color w:val="243587"/>
                <w:sz w:val="22"/>
                <w:szCs w:val="22"/>
                <w:lang w:eastAsia="el-GR"/>
              </w:rPr>
              <w:t>419,2</w:t>
            </w:r>
          </w:p>
        </w:tc>
      </w:tr>
      <w:tr w:rsidR="00001381" w:rsidRPr="00001381" w14:paraId="19ADA4EF" w14:textId="77777777" w:rsidTr="00DD4F7B">
        <w:trPr>
          <w:trHeight w:val="136"/>
        </w:trPr>
        <w:tc>
          <w:tcPr>
            <w:tcW w:w="4395" w:type="dxa"/>
            <w:tcBorders>
              <w:top w:val="single" w:sz="4" w:space="0" w:color="002677"/>
              <w:left w:val="nil"/>
              <w:bottom w:val="single" w:sz="4" w:space="0" w:color="002677"/>
              <w:right w:val="nil"/>
            </w:tcBorders>
            <w:vAlign w:val="center"/>
          </w:tcPr>
          <w:p w14:paraId="6CB9FD93" w14:textId="77777777" w:rsidR="00001381" w:rsidRDefault="00001381" w:rsidP="008B28F3">
            <w:pPr>
              <w:rPr>
                <w:rFonts w:cstheme="minorHAnsi"/>
                <w:color w:val="243587"/>
                <w:sz w:val="22"/>
                <w:szCs w:val="22"/>
                <w:lang w:val="el-GR"/>
              </w:rPr>
            </w:pPr>
          </w:p>
        </w:tc>
        <w:tc>
          <w:tcPr>
            <w:tcW w:w="2838" w:type="dxa"/>
            <w:tcBorders>
              <w:top w:val="single" w:sz="4" w:space="0" w:color="002677"/>
              <w:left w:val="nil"/>
              <w:bottom w:val="single" w:sz="4" w:space="0" w:color="002677"/>
              <w:right w:val="nil"/>
            </w:tcBorders>
            <w:vAlign w:val="center"/>
          </w:tcPr>
          <w:p w14:paraId="3641DB07" w14:textId="77777777" w:rsidR="00001381" w:rsidRPr="00001381" w:rsidRDefault="00001381" w:rsidP="008B28F3">
            <w:pPr>
              <w:jc w:val="center"/>
              <w:rPr>
                <w:rFonts w:ascii="Calibri" w:eastAsia="Times New Roman" w:hAnsi="Calibri" w:cs="Calibri"/>
                <w:color w:val="243587"/>
                <w:sz w:val="22"/>
                <w:szCs w:val="22"/>
                <w:lang w:val="el-GR" w:eastAsia="el-GR"/>
              </w:rPr>
            </w:pPr>
          </w:p>
        </w:tc>
        <w:tc>
          <w:tcPr>
            <w:tcW w:w="3341" w:type="dxa"/>
            <w:tcBorders>
              <w:top w:val="single" w:sz="4" w:space="0" w:color="002677"/>
              <w:left w:val="nil"/>
              <w:bottom w:val="single" w:sz="4" w:space="0" w:color="002677"/>
              <w:right w:val="nil"/>
            </w:tcBorders>
            <w:shd w:val="clear" w:color="auto" w:fill="EFF2F9"/>
            <w:vAlign w:val="center"/>
          </w:tcPr>
          <w:p w14:paraId="177C614E" w14:textId="77777777" w:rsidR="00001381" w:rsidRPr="00001381" w:rsidRDefault="00001381" w:rsidP="008B28F3">
            <w:pPr>
              <w:jc w:val="center"/>
              <w:rPr>
                <w:rFonts w:ascii="Calibri" w:eastAsia="Times New Roman" w:hAnsi="Calibri" w:cs="Calibri"/>
                <w:color w:val="243587"/>
                <w:sz w:val="22"/>
                <w:szCs w:val="22"/>
                <w:lang w:val="el-GR" w:eastAsia="el-GR"/>
              </w:rPr>
            </w:pPr>
          </w:p>
        </w:tc>
      </w:tr>
      <w:tr w:rsidR="00001381" w:rsidRPr="00001381" w14:paraId="53BF6F55" w14:textId="77777777" w:rsidTr="00DD4F7B">
        <w:trPr>
          <w:trHeight w:val="136"/>
        </w:trPr>
        <w:tc>
          <w:tcPr>
            <w:tcW w:w="4395" w:type="dxa"/>
            <w:tcBorders>
              <w:top w:val="single" w:sz="4" w:space="0" w:color="002677"/>
              <w:left w:val="nil"/>
              <w:bottom w:val="single" w:sz="4" w:space="0" w:color="002677"/>
              <w:right w:val="nil"/>
            </w:tcBorders>
            <w:vAlign w:val="center"/>
          </w:tcPr>
          <w:p w14:paraId="61568DE1" w14:textId="38EEC40A" w:rsidR="00001381" w:rsidRPr="00D027F7" w:rsidRDefault="00001381" w:rsidP="00001381">
            <w:pPr>
              <w:rPr>
                <w:rFonts w:cstheme="minorHAnsi"/>
                <w:color w:val="243587"/>
                <w:sz w:val="22"/>
                <w:szCs w:val="22"/>
                <w:lang w:val="el-GR"/>
              </w:rPr>
            </w:pPr>
            <w:r>
              <w:rPr>
                <w:rFonts w:cstheme="minorHAnsi"/>
                <w:color w:val="243587"/>
                <w:sz w:val="22"/>
                <w:szCs w:val="22"/>
                <w:lang w:val="en-US"/>
              </w:rPr>
              <w:t>EBITDA</w:t>
            </w:r>
            <w:r w:rsidR="00593407" w:rsidRPr="00D027F7">
              <w:rPr>
                <w:rFonts w:cstheme="minorHAnsi"/>
                <w:color w:val="243587"/>
                <w:sz w:val="22"/>
                <w:szCs w:val="22"/>
                <w:vertAlign w:val="superscript"/>
                <w:lang w:val="el-GR"/>
              </w:rPr>
              <w:t>1</w:t>
            </w:r>
            <w:r w:rsidR="00593407">
              <w:rPr>
                <w:rFonts w:cstheme="minorHAnsi"/>
                <w:color w:val="243587"/>
                <w:sz w:val="22"/>
                <w:szCs w:val="22"/>
                <w:lang w:val="el-GR"/>
              </w:rPr>
              <w:t xml:space="preserve"> </w:t>
            </w:r>
            <w:r w:rsidR="00D027F7">
              <w:rPr>
                <w:rFonts w:cstheme="minorHAnsi"/>
                <w:color w:val="243587"/>
                <w:sz w:val="22"/>
                <w:szCs w:val="22"/>
                <w:lang w:val="el-GR"/>
              </w:rPr>
              <w:t>-</w:t>
            </w:r>
            <w:r w:rsidR="00D027F7" w:rsidRPr="00F36BD0">
              <w:rPr>
                <w:rFonts w:cstheme="minorHAnsi"/>
                <w:color w:val="243587"/>
                <w:sz w:val="22"/>
                <w:szCs w:val="22"/>
                <w:lang w:val="el-GR"/>
              </w:rPr>
              <w:t>12μηνο </w:t>
            </w:r>
            <w:proofErr w:type="spellStart"/>
            <w:r w:rsidR="00D027F7" w:rsidRPr="00F36BD0">
              <w:rPr>
                <w:rFonts w:cstheme="minorHAnsi"/>
                <w:color w:val="243587"/>
                <w:sz w:val="22"/>
                <w:szCs w:val="22"/>
                <w:lang w:val="el-GR"/>
              </w:rPr>
              <w:t>trailing</w:t>
            </w:r>
            <w:proofErr w:type="spellEnd"/>
            <w:r w:rsidR="00D027F7">
              <w:rPr>
                <w:rFonts w:cstheme="minorHAnsi"/>
                <w:color w:val="243587"/>
                <w:sz w:val="22"/>
                <w:szCs w:val="22"/>
                <w:lang w:val="el-GR"/>
              </w:rPr>
              <w:t xml:space="preserve"> </w:t>
            </w:r>
          </w:p>
        </w:tc>
        <w:tc>
          <w:tcPr>
            <w:tcW w:w="2838" w:type="dxa"/>
            <w:tcBorders>
              <w:top w:val="single" w:sz="4" w:space="0" w:color="002677"/>
              <w:left w:val="nil"/>
              <w:bottom w:val="single" w:sz="4" w:space="0" w:color="002677"/>
              <w:right w:val="nil"/>
            </w:tcBorders>
            <w:vAlign w:val="center"/>
          </w:tcPr>
          <w:p w14:paraId="508DD55E" w14:textId="19382B90" w:rsidR="00001381" w:rsidRPr="00001381" w:rsidRDefault="00001381" w:rsidP="00001381">
            <w:pPr>
              <w:jc w:val="center"/>
              <w:rPr>
                <w:rFonts w:ascii="Calibri" w:eastAsia="Times New Roman" w:hAnsi="Calibri" w:cs="Calibri"/>
                <w:color w:val="243587"/>
                <w:sz w:val="22"/>
                <w:szCs w:val="22"/>
                <w:lang w:eastAsia="el-GR"/>
              </w:rPr>
            </w:pPr>
            <w:r w:rsidRPr="00001381">
              <w:rPr>
                <w:rFonts w:ascii="Calibri" w:eastAsia="Times New Roman" w:hAnsi="Calibri" w:cs="Calibri"/>
                <w:color w:val="243587"/>
                <w:sz w:val="22"/>
                <w:szCs w:val="22"/>
                <w:lang w:eastAsia="el-GR"/>
              </w:rPr>
              <w:t>274,9</w:t>
            </w:r>
          </w:p>
        </w:tc>
        <w:tc>
          <w:tcPr>
            <w:tcW w:w="3341" w:type="dxa"/>
            <w:tcBorders>
              <w:top w:val="single" w:sz="4" w:space="0" w:color="002677"/>
              <w:left w:val="nil"/>
              <w:bottom w:val="single" w:sz="4" w:space="0" w:color="002677"/>
              <w:right w:val="nil"/>
            </w:tcBorders>
            <w:shd w:val="clear" w:color="auto" w:fill="EFF2F9"/>
            <w:vAlign w:val="center"/>
          </w:tcPr>
          <w:p w14:paraId="6C3F4ED0" w14:textId="111B2363" w:rsidR="00001381" w:rsidRPr="00001381" w:rsidRDefault="00001381" w:rsidP="00001381">
            <w:pPr>
              <w:jc w:val="center"/>
              <w:rPr>
                <w:rFonts w:ascii="Calibri" w:eastAsia="Times New Roman" w:hAnsi="Calibri" w:cs="Calibri"/>
                <w:color w:val="243587"/>
                <w:sz w:val="22"/>
                <w:szCs w:val="22"/>
                <w:lang w:eastAsia="el-GR"/>
              </w:rPr>
            </w:pPr>
            <w:r w:rsidRPr="00001381">
              <w:rPr>
                <w:rFonts w:ascii="Calibri" w:eastAsia="Times New Roman" w:hAnsi="Calibri" w:cs="Calibri"/>
                <w:color w:val="243587"/>
                <w:sz w:val="22"/>
                <w:szCs w:val="22"/>
                <w:lang w:eastAsia="el-GR"/>
              </w:rPr>
              <w:t>310,3</w:t>
            </w:r>
          </w:p>
        </w:tc>
      </w:tr>
      <w:tr w:rsidR="00001381" w:rsidRPr="00001381" w14:paraId="487C1B0D" w14:textId="77777777" w:rsidTr="00DD4F7B">
        <w:trPr>
          <w:trHeight w:val="136"/>
        </w:trPr>
        <w:tc>
          <w:tcPr>
            <w:tcW w:w="4395" w:type="dxa"/>
            <w:tcBorders>
              <w:top w:val="single" w:sz="4" w:space="0" w:color="002677"/>
              <w:left w:val="nil"/>
              <w:bottom w:val="single" w:sz="4" w:space="0" w:color="002677"/>
              <w:right w:val="nil"/>
            </w:tcBorders>
            <w:vAlign w:val="center"/>
          </w:tcPr>
          <w:p w14:paraId="608B8B14" w14:textId="4286F15B" w:rsidR="00001381" w:rsidRPr="00001381" w:rsidRDefault="00001381" w:rsidP="00001381">
            <w:pPr>
              <w:rPr>
                <w:rFonts w:cstheme="minorHAnsi"/>
                <w:color w:val="243587"/>
                <w:sz w:val="22"/>
                <w:szCs w:val="22"/>
                <w:lang w:val="en-US"/>
              </w:rPr>
            </w:pPr>
            <w:r>
              <w:rPr>
                <w:rFonts w:cstheme="minorHAnsi"/>
                <w:color w:val="243587"/>
                <w:sz w:val="22"/>
                <w:szCs w:val="22"/>
                <w:lang w:val="el-GR"/>
              </w:rPr>
              <w:t>Δείκτης Καθαρού Δανεισμού / Ε</w:t>
            </w:r>
            <w:r>
              <w:rPr>
                <w:rFonts w:cstheme="minorHAnsi"/>
                <w:color w:val="243587"/>
                <w:sz w:val="22"/>
                <w:szCs w:val="22"/>
                <w:lang w:val="en-US"/>
              </w:rPr>
              <w:t>BITDA</w:t>
            </w:r>
          </w:p>
        </w:tc>
        <w:tc>
          <w:tcPr>
            <w:tcW w:w="2838" w:type="dxa"/>
            <w:tcBorders>
              <w:top w:val="single" w:sz="4" w:space="0" w:color="002677"/>
              <w:left w:val="nil"/>
              <w:bottom w:val="single" w:sz="4" w:space="0" w:color="002677"/>
              <w:right w:val="nil"/>
            </w:tcBorders>
            <w:vAlign w:val="center"/>
          </w:tcPr>
          <w:p w14:paraId="646369F0" w14:textId="28DA09A2" w:rsidR="00001381" w:rsidRPr="00001381" w:rsidRDefault="00001381" w:rsidP="00001381">
            <w:pPr>
              <w:jc w:val="center"/>
              <w:rPr>
                <w:rFonts w:ascii="Calibri" w:eastAsia="Times New Roman" w:hAnsi="Calibri" w:cs="Calibri"/>
                <w:color w:val="243587"/>
                <w:sz w:val="22"/>
                <w:szCs w:val="22"/>
                <w:lang w:val="en-US" w:eastAsia="el-GR"/>
              </w:rPr>
            </w:pPr>
            <w:r>
              <w:rPr>
                <w:rFonts w:ascii="Calibri" w:eastAsia="Times New Roman" w:hAnsi="Calibri" w:cs="Calibri"/>
                <w:color w:val="243587"/>
                <w:sz w:val="22"/>
                <w:szCs w:val="22"/>
                <w:lang w:val="en-US" w:eastAsia="el-GR"/>
              </w:rPr>
              <w:t>1,7x</w:t>
            </w:r>
          </w:p>
        </w:tc>
        <w:tc>
          <w:tcPr>
            <w:tcW w:w="3341" w:type="dxa"/>
            <w:tcBorders>
              <w:top w:val="single" w:sz="4" w:space="0" w:color="002677"/>
              <w:left w:val="nil"/>
              <w:bottom w:val="single" w:sz="4" w:space="0" w:color="002677"/>
              <w:right w:val="nil"/>
            </w:tcBorders>
            <w:shd w:val="clear" w:color="auto" w:fill="EFF2F9"/>
            <w:vAlign w:val="center"/>
          </w:tcPr>
          <w:p w14:paraId="54E3F6B3" w14:textId="4FB05402" w:rsidR="00001381" w:rsidRPr="00001381" w:rsidRDefault="00001381" w:rsidP="00001381">
            <w:pPr>
              <w:jc w:val="center"/>
              <w:rPr>
                <w:rFonts w:ascii="Calibri" w:eastAsia="Times New Roman" w:hAnsi="Calibri" w:cs="Calibri"/>
                <w:color w:val="243587"/>
                <w:sz w:val="22"/>
                <w:szCs w:val="22"/>
                <w:lang w:val="en-US" w:eastAsia="el-GR"/>
              </w:rPr>
            </w:pPr>
            <w:r>
              <w:rPr>
                <w:rFonts w:ascii="Calibri" w:eastAsia="Times New Roman" w:hAnsi="Calibri" w:cs="Calibri"/>
                <w:color w:val="243587"/>
                <w:sz w:val="22"/>
                <w:szCs w:val="22"/>
                <w:lang w:val="en-US" w:eastAsia="el-GR"/>
              </w:rPr>
              <w:t>1,4x</w:t>
            </w:r>
          </w:p>
        </w:tc>
      </w:tr>
    </w:tbl>
    <w:p w14:paraId="397DD059" w14:textId="3AE3920B" w:rsidR="00D027F7" w:rsidRPr="00D027F7" w:rsidRDefault="00D027F7" w:rsidP="00593407">
      <w:pPr>
        <w:spacing w:before="40"/>
        <w:jc w:val="both"/>
        <w:rPr>
          <w:rFonts w:cstheme="minorHAnsi"/>
          <w:color w:val="243587"/>
          <w:sz w:val="18"/>
          <w:szCs w:val="18"/>
          <w:lang w:val="el-GR"/>
        </w:rPr>
      </w:pPr>
      <w:r w:rsidRPr="00D027F7">
        <w:rPr>
          <w:rFonts w:cstheme="minorHAnsi"/>
          <w:color w:val="243587"/>
          <w:sz w:val="18"/>
          <w:szCs w:val="18"/>
          <w:lang w:val="el-GR"/>
        </w:rPr>
        <w:t>Σημείωση</w:t>
      </w:r>
      <w:r>
        <w:rPr>
          <w:rFonts w:cstheme="minorHAnsi"/>
          <w:color w:val="243587"/>
          <w:sz w:val="18"/>
          <w:szCs w:val="18"/>
          <w:lang w:val="el-GR"/>
        </w:rPr>
        <w:t>:</w:t>
      </w:r>
    </w:p>
    <w:p w14:paraId="64A94B00" w14:textId="11D9D92B" w:rsidR="0049672F" w:rsidRPr="00D027F7" w:rsidRDefault="00074432" w:rsidP="0049672F">
      <w:pPr>
        <w:pStyle w:val="ListParagraph"/>
        <w:numPr>
          <w:ilvl w:val="0"/>
          <w:numId w:val="5"/>
        </w:numPr>
        <w:ind w:left="142" w:hanging="142"/>
        <w:jc w:val="both"/>
        <w:rPr>
          <w:rFonts w:cstheme="minorHAnsi"/>
          <w:color w:val="243587"/>
          <w:sz w:val="18"/>
          <w:szCs w:val="18"/>
          <w:lang w:val="el-GR"/>
        </w:rPr>
      </w:pPr>
      <w:r>
        <w:rPr>
          <w:rFonts w:cstheme="minorHAnsi"/>
          <w:color w:val="243587"/>
          <w:sz w:val="18"/>
          <w:szCs w:val="18"/>
          <w:lang w:val="el-GR"/>
        </w:rPr>
        <w:t xml:space="preserve"> </w:t>
      </w:r>
      <w:r w:rsidR="00D027F7" w:rsidRPr="00D027F7">
        <w:rPr>
          <w:rFonts w:cstheme="minorHAnsi"/>
          <w:color w:val="243587"/>
          <w:sz w:val="18"/>
          <w:szCs w:val="18"/>
          <w:lang w:val="el-GR"/>
        </w:rPr>
        <w:t>Κέρδη / (Ζημίες) προ φόρων, χρηματοδοτικών και επενδυτικών αποτελεσμάτων και αποσβέσεων</w:t>
      </w:r>
      <w:r w:rsidR="0049672F" w:rsidRPr="0049672F">
        <w:rPr>
          <w:rFonts w:cstheme="minorHAnsi"/>
          <w:color w:val="243587"/>
          <w:sz w:val="18"/>
          <w:szCs w:val="18"/>
          <w:lang w:val="el-GR"/>
        </w:rPr>
        <w:t xml:space="preserve">, </w:t>
      </w:r>
      <w:r w:rsidR="0049672F">
        <w:rPr>
          <w:rFonts w:cstheme="minorHAnsi"/>
          <w:color w:val="243587"/>
          <w:sz w:val="18"/>
          <w:szCs w:val="18"/>
          <w:lang w:val="el-GR"/>
        </w:rPr>
        <w:t>των 12 προηγούμενων μηνών (Ιαν</w:t>
      </w:r>
      <w:r w:rsidR="00EC0366" w:rsidRPr="00EC0366">
        <w:rPr>
          <w:rFonts w:cstheme="minorHAnsi"/>
          <w:color w:val="243587"/>
          <w:sz w:val="18"/>
          <w:szCs w:val="18"/>
          <w:lang w:val="el-GR"/>
        </w:rPr>
        <w:t>.</w:t>
      </w:r>
      <w:r w:rsidR="0049672F">
        <w:rPr>
          <w:rFonts w:cstheme="minorHAnsi"/>
          <w:color w:val="243587"/>
          <w:sz w:val="18"/>
          <w:szCs w:val="18"/>
          <w:lang w:val="el-GR"/>
        </w:rPr>
        <w:t>-Δεκ</w:t>
      </w:r>
      <w:r w:rsidR="00EC0366" w:rsidRPr="00EC0366">
        <w:rPr>
          <w:rFonts w:cstheme="minorHAnsi"/>
          <w:color w:val="243587"/>
          <w:sz w:val="18"/>
          <w:szCs w:val="18"/>
          <w:lang w:val="el-GR"/>
        </w:rPr>
        <w:t>.</w:t>
      </w:r>
      <w:r w:rsidR="0049672F">
        <w:rPr>
          <w:rFonts w:cstheme="minorHAnsi"/>
          <w:color w:val="243587"/>
          <w:sz w:val="18"/>
          <w:szCs w:val="18"/>
          <w:lang w:val="el-GR"/>
        </w:rPr>
        <w:t xml:space="preserve"> 2022 και Απρ</w:t>
      </w:r>
      <w:r w:rsidR="00EC0366" w:rsidRPr="00EC0366">
        <w:rPr>
          <w:rFonts w:cstheme="minorHAnsi"/>
          <w:color w:val="243587"/>
          <w:sz w:val="18"/>
          <w:szCs w:val="18"/>
          <w:lang w:val="el-GR"/>
        </w:rPr>
        <w:t>.</w:t>
      </w:r>
      <w:r w:rsidR="0049672F">
        <w:rPr>
          <w:rFonts w:cstheme="minorHAnsi"/>
          <w:color w:val="243587"/>
          <w:sz w:val="18"/>
          <w:szCs w:val="18"/>
          <w:lang w:val="el-GR"/>
        </w:rPr>
        <w:t xml:space="preserve"> 2022</w:t>
      </w:r>
      <w:r w:rsidR="00EC0366" w:rsidRPr="00EC0366">
        <w:rPr>
          <w:rFonts w:cstheme="minorHAnsi"/>
          <w:color w:val="243587"/>
          <w:sz w:val="18"/>
          <w:szCs w:val="18"/>
          <w:lang w:val="el-GR"/>
        </w:rPr>
        <w:t xml:space="preserve"> </w:t>
      </w:r>
      <w:r w:rsidR="0049672F">
        <w:rPr>
          <w:rFonts w:cstheme="minorHAnsi"/>
          <w:color w:val="243587"/>
          <w:sz w:val="18"/>
          <w:szCs w:val="18"/>
          <w:lang w:val="el-GR"/>
        </w:rPr>
        <w:t>-Μ</w:t>
      </w:r>
      <w:r>
        <w:rPr>
          <w:rFonts w:cstheme="minorHAnsi"/>
          <w:color w:val="243587"/>
          <w:sz w:val="18"/>
          <w:szCs w:val="18"/>
          <w:lang w:val="el-GR"/>
        </w:rPr>
        <w:t>α</w:t>
      </w:r>
      <w:r w:rsidR="0049672F">
        <w:rPr>
          <w:rFonts w:cstheme="minorHAnsi"/>
          <w:color w:val="243587"/>
          <w:sz w:val="18"/>
          <w:szCs w:val="18"/>
          <w:lang w:val="el-GR"/>
        </w:rPr>
        <w:t>ρ</w:t>
      </w:r>
      <w:r w:rsidR="00EC0366" w:rsidRPr="00EC0366">
        <w:rPr>
          <w:rFonts w:cstheme="minorHAnsi"/>
          <w:color w:val="243587"/>
          <w:sz w:val="18"/>
          <w:szCs w:val="18"/>
          <w:lang w:val="el-GR"/>
        </w:rPr>
        <w:t>.</w:t>
      </w:r>
      <w:r w:rsidR="0049672F">
        <w:rPr>
          <w:rFonts w:cstheme="minorHAnsi"/>
          <w:color w:val="243587"/>
          <w:sz w:val="18"/>
          <w:szCs w:val="18"/>
          <w:lang w:val="el-GR"/>
        </w:rPr>
        <w:t xml:space="preserve"> 2023 αντίστοιχα</w:t>
      </w:r>
      <w:r w:rsidR="002936ED" w:rsidRPr="0081696E">
        <w:rPr>
          <w:rFonts w:cstheme="minorHAnsi"/>
          <w:color w:val="243587"/>
          <w:sz w:val="18"/>
          <w:szCs w:val="18"/>
          <w:lang w:val="el-GR"/>
        </w:rPr>
        <w:t>)</w:t>
      </w:r>
      <w:r w:rsidR="00EC0366">
        <w:rPr>
          <w:rFonts w:cstheme="minorHAnsi"/>
          <w:color w:val="243587"/>
          <w:sz w:val="18"/>
          <w:szCs w:val="18"/>
          <w:lang w:val="el-GR"/>
        </w:rPr>
        <w:t>.</w:t>
      </w:r>
    </w:p>
    <w:p w14:paraId="2AAEB169" w14:textId="2B04727F" w:rsidR="00D027F7" w:rsidRPr="00D027F7" w:rsidRDefault="00D027F7" w:rsidP="0049672F">
      <w:pPr>
        <w:pStyle w:val="ListParagraph"/>
        <w:ind w:left="142"/>
        <w:jc w:val="both"/>
        <w:rPr>
          <w:rFonts w:cstheme="minorHAnsi"/>
          <w:color w:val="243587"/>
          <w:sz w:val="18"/>
          <w:szCs w:val="18"/>
          <w:lang w:val="el-GR"/>
        </w:rPr>
      </w:pPr>
    </w:p>
    <w:p w14:paraId="265D00C1" w14:textId="77777777" w:rsidR="00D027F7" w:rsidRDefault="00D027F7" w:rsidP="00645A95">
      <w:pPr>
        <w:spacing w:after="120"/>
        <w:jc w:val="both"/>
        <w:rPr>
          <w:rFonts w:cstheme="minorHAnsi"/>
          <w:color w:val="243587"/>
          <w:sz w:val="18"/>
          <w:szCs w:val="18"/>
          <w:lang w:val="el-GR"/>
        </w:rPr>
      </w:pPr>
    </w:p>
    <w:bookmarkEnd w:id="5"/>
    <w:p w14:paraId="7F61CA54" w14:textId="72A82FFE" w:rsidR="009A329A" w:rsidRDefault="009A329A" w:rsidP="00645A95">
      <w:pPr>
        <w:spacing w:after="120"/>
        <w:jc w:val="both"/>
        <w:rPr>
          <w:rFonts w:cstheme="minorHAnsi"/>
          <w:b/>
          <w:bCs/>
          <w:color w:val="243587"/>
          <w:sz w:val="22"/>
          <w:szCs w:val="22"/>
          <w:lang w:val="el-GR"/>
        </w:rPr>
      </w:pPr>
    </w:p>
    <w:p w14:paraId="3946207B" w14:textId="5258D63D" w:rsidR="00D659E5" w:rsidRDefault="00D659E5" w:rsidP="00645A95">
      <w:pPr>
        <w:spacing w:after="120"/>
        <w:jc w:val="both"/>
        <w:rPr>
          <w:rFonts w:cstheme="minorHAnsi"/>
          <w:b/>
          <w:bCs/>
          <w:color w:val="243587"/>
          <w:sz w:val="22"/>
          <w:szCs w:val="22"/>
          <w:lang w:val="el-GR"/>
        </w:rPr>
      </w:pPr>
    </w:p>
    <w:p w14:paraId="351FCDE8" w14:textId="7B410420" w:rsidR="00D659E5" w:rsidRDefault="00D659E5" w:rsidP="00645A95">
      <w:pPr>
        <w:spacing w:after="120"/>
        <w:jc w:val="both"/>
        <w:rPr>
          <w:rFonts w:cstheme="minorHAnsi"/>
          <w:b/>
          <w:bCs/>
          <w:color w:val="243587"/>
          <w:sz w:val="22"/>
          <w:szCs w:val="22"/>
          <w:lang w:val="el-GR"/>
        </w:rPr>
      </w:pPr>
    </w:p>
    <w:p w14:paraId="084832B8" w14:textId="54CE7052" w:rsidR="000632A7" w:rsidRDefault="000632A7" w:rsidP="00645A95">
      <w:pPr>
        <w:spacing w:after="120"/>
        <w:jc w:val="both"/>
        <w:rPr>
          <w:rFonts w:cstheme="minorHAnsi"/>
          <w:b/>
          <w:bCs/>
          <w:color w:val="243587"/>
          <w:sz w:val="22"/>
          <w:szCs w:val="22"/>
          <w:lang w:val="el-GR"/>
        </w:rPr>
      </w:pPr>
    </w:p>
    <w:p w14:paraId="0EB7CB77" w14:textId="3C054742" w:rsidR="000632A7" w:rsidRDefault="000632A7" w:rsidP="00645A95">
      <w:pPr>
        <w:spacing w:after="120"/>
        <w:jc w:val="both"/>
        <w:rPr>
          <w:rFonts w:cstheme="minorHAnsi"/>
          <w:b/>
          <w:bCs/>
          <w:color w:val="243587"/>
          <w:sz w:val="22"/>
          <w:szCs w:val="22"/>
          <w:lang w:val="el-GR"/>
        </w:rPr>
      </w:pPr>
    </w:p>
    <w:p w14:paraId="318B7D34" w14:textId="4F4EFFA4" w:rsidR="000632A7" w:rsidRDefault="000632A7" w:rsidP="00645A95">
      <w:pPr>
        <w:spacing w:after="120"/>
        <w:jc w:val="both"/>
        <w:rPr>
          <w:rFonts w:cstheme="minorHAnsi"/>
          <w:b/>
          <w:bCs/>
          <w:color w:val="243587"/>
          <w:sz w:val="22"/>
          <w:szCs w:val="22"/>
          <w:lang w:val="el-GR"/>
        </w:rPr>
      </w:pPr>
    </w:p>
    <w:p w14:paraId="24B228EC" w14:textId="61D8A040" w:rsidR="000632A7" w:rsidRDefault="000632A7" w:rsidP="00645A95">
      <w:pPr>
        <w:spacing w:after="120"/>
        <w:jc w:val="both"/>
        <w:rPr>
          <w:rFonts w:cstheme="minorHAnsi"/>
          <w:b/>
          <w:bCs/>
          <w:color w:val="243587"/>
          <w:sz w:val="22"/>
          <w:szCs w:val="22"/>
          <w:lang w:val="el-GR"/>
        </w:rPr>
      </w:pPr>
    </w:p>
    <w:p w14:paraId="4E88B222" w14:textId="6D2697FE" w:rsidR="000632A7" w:rsidRDefault="000632A7" w:rsidP="00645A95">
      <w:pPr>
        <w:spacing w:after="120"/>
        <w:jc w:val="both"/>
        <w:rPr>
          <w:rFonts w:cstheme="minorHAnsi"/>
          <w:b/>
          <w:bCs/>
          <w:color w:val="243587"/>
          <w:sz w:val="22"/>
          <w:szCs w:val="22"/>
          <w:lang w:val="el-GR"/>
        </w:rPr>
      </w:pPr>
    </w:p>
    <w:p w14:paraId="7CA1DCB6" w14:textId="689D329E" w:rsidR="000632A7" w:rsidRDefault="000632A7" w:rsidP="00645A95">
      <w:pPr>
        <w:spacing w:after="120"/>
        <w:jc w:val="both"/>
        <w:rPr>
          <w:rFonts w:cstheme="minorHAnsi"/>
          <w:b/>
          <w:bCs/>
          <w:color w:val="243587"/>
          <w:sz w:val="22"/>
          <w:szCs w:val="22"/>
          <w:lang w:val="el-GR"/>
        </w:rPr>
      </w:pPr>
    </w:p>
    <w:p w14:paraId="71ABC504" w14:textId="65B220B0" w:rsidR="000632A7" w:rsidRDefault="000632A7" w:rsidP="00645A95">
      <w:pPr>
        <w:spacing w:after="120"/>
        <w:jc w:val="both"/>
        <w:rPr>
          <w:rFonts w:cstheme="minorHAnsi"/>
          <w:b/>
          <w:bCs/>
          <w:color w:val="243587"/>
          <w:sz w:val="22"/>
          <w:szCs w:val="22"/>
          <w:lang w:val="el-GR"/>
        </w:rPr>
      </w:pPr>
    </w:p>
    <w:p w14:paraId="7D9CF20D" w14:textId="08FECF11" w:rsidR="000632A7" w:rsidRDefault="000632A7" w:rsidP="00645A95">
      <w:pPr>
        <w:spacing w:after="120"/>
        <w:jc w:val="both"/>
        <w:rPr>
          <w:rFonts w:cstheme="minorHAnsi"/>
          <w:b/>
          <w:bCs/>
          <w:color w:val="243587"/>
          <w:sz w:val="22"/>
          <w:szCs w:val="22"/>
          <w:lang w:val="el-GR"/>
        </w:rPr>
      </w:pPr>
    </w:p>
    <w:p w14:paraId="325A79D9" w14:textId="540135EC" w:rsidR="000632A7" w:rsidRDefault="000632A7" w:rsidP="00645A95">
      <w:pPr>
        <w:spacing w:after="120"/>
        <w:jc w:val="both"/>
        <w:rPr>
          <w:rFonts w:cstheme="minorHAnsi"/>
          <w:b/>
          <w:bCs/>
          <w:color w:val="243587"/>
          <w:sz w:val="22"/>
          <w:szCs w:val="22"/>
          <w:lang w:val="el-GR"/>
        </w:rPr>
      </w:pPr>
    </w:p>
    <w:p w14:paraId="4D7E9280" w14:textId="0BC70455" w:rsidR="000632A7" w:rsidRDefault="000632A7" w:rsidP="00645A95">
      <w:pPr>
        <w:spacing w:after="120"/>
        <w:jc w:val="both"/>
        <w:rPr>
          <w:rFonts w:cstheme="minorHAnsi"/>
          <w:b/>
          <w:bCs/>
          <w:color w:val="243587"/>
          <w:sz w:val="22"/>
          <w:szCs w:val="22"/>
          <w:lang w:val="el-GR"/>
        </w:rPr>
      </w:pPr>
    </w:p>
    <w:p w14:paraId="6CFDDD75" w14:textId="6225D4A0" w:rsidR="000632A7" w:rsidRDefault="000632A7" w:rsidP="00645A95">
      <w:pPr>
        <w:spacing w:after="120"/>
        <w:jc w:val="both"/>
        <w:rPr>
          <w:rFonts w:cstheme="minorHAnsi"/>
          <w:b/>
          <w:bCs/>
          <w:color w:val="243587"/>
          <w:sz w:val="22"/>
          <w:szCs w:val="22"/>
          <w:lang w:val="el-GR"/>
        </w:rPr>
      </w:pPr>
    </w:p>
    <w:p w14:paraId="605AF988" w14:textId="1D23B677" w:rsidR="000632A7" w:rsidRDefault="000632A7" w:rsidP="00645A95">
      <w:pPr>
        <w:spacing w:after="120"/>
        <w:jc w:val="both"/>
        <w:rPr>
          <w:rFonts w:cstheme="minorHAnsi"/>
          <w:b/>
          <w:bCs/>
          <w:color w:val="243587"/>
          <w:sz w:val="22"/>
          <w:szCs w:val="22"/>
          <w:lang w:val="el-GR"/>
        </w:rPr>
      </w:pPr>
    </w:p>
    <w:p w14:paraId="7E1BC7D2" w14:textId="0ACDC644" w:rsidR="000632A7" w:rsidRDefault="000632A7" w:rsidP="00645A95">
      <w:pPr>
        <w:spacing w:after="120"/>
        <w:jc w:val="both"/>
        <w:rPr>
          <w:rFonts w:cstheme="minorHAnsi"/>
          <w:b/>
          <w:bCs/>
          <w:color w:val="243587"/>
          <w:sz w:val="22"/>
          <w:szCs w:val="22"/>
          <w:lang w:val="el-GR"/>
        </w:rPr>
      </w:pPr>
    </w:p>
    <w:p w14:paraId="6E4D1C00" w14:textId="3A523902" w:rsidR="00645A95" w:rsidRDefault="00077525" w:rsidP="00645A95">
      <w:pPr>
        <w:spacing w:after="120"/>
        <w:jc w:val="both"/>
        <w:rPr>
          <w:rFonts w:cstheme="minorHAnsi"/>
          <w:b/>
          <w:bCs/>
          <w:color w:val="243587"/>
          <w:sz w:val="22"/>
          <w:szCs w:val="22"/>
          <w:lang w:val="el-GR"/>
        </w:rPr>
      </w:pPr>
      <w:r>
        <w:rPr>
          <w:rFonts w:cstheme="minorHAnsi"/>
          <w:b/>
          <w:bCs/>
          <w:color w:val="243587"/>
          <w:sz w:val="22"/>
          <w:szCs w:val="22"/>
          <w:lang w:val="el-GR"/>
        </w:rPr>
        <w:lastRenderedPageBreak/>
        <w:t xml:space="preserve">Η </w:t>
      </w:r>
      <w:r w:rsidR="00645A95">
        <w:rPr>
          <w:rFonts w:cstheme="minorHAnsi"/>
          <w:b/>
          <w:bCs/>
          <w:color w:val="243587"/>
          <w:sz w:val="22"/>
          <w:szCs w:val="22"/>
        </w:rPr>
        <w:t>A</w:t>
      </w:r>
      <w:r w:rsidR="00432711">
        <w:rPr>
          <w:rFonts w:cstheme="minorHAnsi"/>
          <w:b/>
          <w:bCs/>
          <w:color w:val="243587"/>
          <w:sz w:val="22"/>
          <w:szCs w:val="22"/>
        </w:rPr>
        <w:t>EGEAN</w:t>
      </w:r>
      <w:r w:rsidR="00645A95" w:rsidRPr="00077525">
        <w:rPr>
          <w:rFonts w:cstheme="minorHAnsi"/>
          <w:b/>
          <w:bCs/>
          <w:color w:val="243587"/>
          <w:sz w:val="22"/>
          <w:szCs w:val="22"/>
          <w:lang w:val="el-GR"/>
        </w:rPr>
        <w:t xml:space="preserve"> </w:t>
      </w:r>
      <w:r w:rsidR="00645A95">
        <w:rPr>
          <w:rFonts w:cstheme="minorHAnsi"/>
          <w:b/>
          <w:bCs/>
          <w:color w:val="243587"/>
          <w:sz w:val="22"/>
          <w:szCs w:val="22"/>
          <w:lang w:val="el-GR"/>
        </w:rPr>
        <w:t>με μία ματιά</w:t>
      </w:r>
    </w:p>
    <w:p w14:paraId="1F3810C8" w14:textId="77777777" w:rsidR="001B1BDA" w:rsidRPr="00645A95" w:rsidRDefault="001B1BDA" w:rsidP="00645A95">
      <w:pPr>
        <w:spacing w:after="120"/>
        <w:jc w:val="both"/>
        <w:rPr>
          <w:rFonts w:cstheme="minorHAnsi"/>
          <w:b/>
          <w:bCs/>
          <w:color w:val="243587"/>
          <w:sz w:val="22"/>
          <w:szCs w:val="22"/>
          <w:lang w:val="el-GR"/>
        </w:rPr>
      </w:pPr>
      <w:bookmarkStart w:id="6" w:name="_Hlk129612592"/>
    </w:p>
    <w:tbl>
      <w:tblPr>
        <w:tblW w:w="10193" w:type="dxa"/>
        <w:tblCellMar>
          <w:left w:w="0" w:type="dxa"/>
          <w:right w:w="0" w:type="dxa"/>
        </w:tblCellMar>
        <w:tblLook w:val="04A0" w:firstRow="1" w:lastRow="0" w:firstColumn="1" w:lastColumn="0" w:noHBand="0" w:noVBand="1"/>
      </w:tblPr>
      <w:tblGrid>
        <w:gridCol w:w="4901"/>
        <w:gridCol w:w="1895"/>
        <w:gridCol w:w="1812"/>
        <w:gridCol w:w="1585"/>
      </w:tblGrid>
      <w:tr w:rsidR="00E76799" w:rsidRPr="00181385" w14:paraId="346833C1" w14:textId="77777777" w:rsidTr="00F806F0">
        <w:trPr>
          <w:trHeight w:val="237"/>
        </w:trPr>
        <w:tc>
          <w:tcPr>
            <w:tcW w:w="4901" w:type="dxa"/>
            <w:tcBorders>
              <w:top w:val="nil"/>
              <w:left w:val="nil"/>
              <w:right w:val="nil"/>
            </w:tcBorders>
            <w:shd w:val="clear" w:color="auto" w:fill="002677"/>
            <w:tcMar>
              <w:top w:w="13" w:type="dxa"/>
              <w:left w:w="97" w:type="dxa"/>
              <w:bottom w:w="0" w:type="dxa"/>
              <w:right w:w="97" w:type="dxa"/>
            </w:tcMar>
            <w:vAlign w:val="center"/>
          </w:tcPr>
          <w:p w14:paraId="44E887F8" w14:textId="77777777" w:rsidR="00E76799" w:rsidRPr="001526FF" w:rsidRDefault="00E76799" w:rsidP="00E76799">
            <w:pPr>
              <w:rPr>
                <w:rFonts w:cstheme="minorHAnsi"/>
                <w:color w:val="FFFFFF" w:themeColor="background1"/>
                <w:kern w:val="24"/>
                <w:sz w:val="22"/>
                <w:szCs w:val="22"/>
                <w:lang w:val="en-US"/>
              </w:rPr>
            </w:pPr>
            <w:r w:rsidRPr="00E74055">
              <w:t>(</w:t>
            </w:r>
            <w:r>
              <w:rPr>
                <w:lang w:val="el-GR"/>
              </w:rPr>
              <w:t>σε</w:t>
            </w:r>
            <w:r w:rsidRPr="00E74055">
              <w:t xml:space="preserve"> € </w:t>
            </w:r>
            <w:proofErr w:type="spellStart"/>
            <w:r>
              <w:rPr>
                <w:lang w:val="el-GR"/>
              </w:rPr>
              <w:t>εκατ</w:t>
            </w:r>
            <w:proofErr w:type="spellEnd"/>
            <w:r w:rsidRPr="00E74055">
              <w:t>.)</w:t>
            </w:r>
          </w:p>
        </w:tc>
        <w:tc>
          <w:tcPr>
            <w:tcW w:w="1895" w:type="dxa"/>
            <w:tcBorders>
              <w:top w:val="nil"/>
              <w:left w:val="nil"/>
              <w:right w:val="nil"/>
            </w:tcBorders>
            <w:shd w:val="clear" w:color="auto" w:fill="002677"/>
            <w:vAlign w:val="center"/>
          </w:tcPr>
          <w:p w14:paraId="27B52197" w14:textId="77777777" w:rsidR="00E76799" w:rsidRDefault="00E76799" w:rsidP="00E76799">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6AD6784B" w14:textId="77777777" w:rsidR="00E76799" w:rsidRPr="008105D9" w:rsidRDefault="00E76799" w:rsidP="00E76799">
            <w:pPr>
              <w:spacing w:line="280" w:lineRule="exact"/>
              <w:jc w:val="center"/>
              <w:rPr>
                <w:lang w:val="en-US"/>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812" w:type="dxa"/>
            <w:tcBorders>
              <w:top w:val="nil"/>
              <w:left w:val="nil"/>
              <w:right w:val="nil"/>
            </w:tcBorders>
            <w:shd w:val="clear" w:color="auto" w:fill="002677"/>
            <w:vAlign w:val="center"/>
          </w:tcPr>
          <w:p w14:paraId="40D1B84D" w14:textId="77777777" w:rsidR="00E76799" w:rsidRDefault="00E76799" w:rsidP="00E76799">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489840E8" w14:textId="77777777" w:rsidR="00E76799" w:rsidRPr="00E74055" w:rsidRDefault="00E76799" w:rsidP="00E76799">
            <w:pPr>
              <w:spacing w:line="280" w:lineRule="exact"/>
              <w:jc w:val="cente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585" w:type="dxa"/>
            <w:tcBorders>
              <w:top w:val="nil"/>
              <w:left w:val="nil"/>
              <w:right w:val="nil"/>
            </w:tcBorders>
            <w:shd w:val="clear" w:color="auto" w:fill="002677"/>
            <w:vAlign w:val="center"/>
          </w:tcPr>
          <w:p w14:paraId="13FEE371" w14:textId="77777777" w:rsidR="00E76799" w:rsidRPr="00E74055" w:rsidRDefault="00E76799" w:rsidP="00E76799">
            <w:pPr>
              <w:spacing w:line="280" w:lineRule="exact"/>
              <w:jc w:val="cente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proofErr w:type="spellStart"/>
            <w:r>
              <w:rPr>
                <w:rFonts w:cstheme="minorHAnsi"/>
                <w:color w:val="FFFFFF" w:themeColor="background1"/>
                <w:kern w:val="24"/>
                <w:sz w:val="22"/>
                <w:szCs w:val="22"/>
                <w:lang w:val="el-GR"/>
              </w:rPr>
              <w:t>μτβ</w:t>
            </w:r>
            <w:proofErr w:type="spellEnd"/>
          </w:p>
        </w:tc>
      </w:tr>
      <w:tr w:rsidR="00637A57" w:rsidRPr="006A118F" w14:paraId="710C343D" w14:textId="77777777" w:rsidTr="00F806F0">
        <w:trPr>
          <w:trHeight w:val="305"/>
        </w:trPr>
        <w:tc>
          <w:tcPr>
            <w:tcW w:w="4901"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hideMark/>
          </w:tcPr>
          <w:p w14:paraId="1C963474" w14:textId="77777777" w:rsidR="00637A57" w:rsidRPr="00586584" w:rsidRDefault="00637A57" w:rsidP="00637A57">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Έσοδ</w:t>
            </w:r>
            <w:proofErr w:type="spellEnd"/>
            <w:r w:rsidRPr="00586584">
              <w:rPr>
                <w:rFonts w:ascii="Calibri" w:eastAsia="Times New Roman" w:hAnsi="Calibri" w:cs="Calibri"/>
                <w:color w:val="243587"/>
                <w:sz w:val="22"/>
                <w:szCs w:val="22"/>
                <w:lang w:eastAsia="el-GR"/>
              </w:rPr>
              <w:t>α</w:t>
            </w:r>
          </w:p>
        </w:tc>
        <w:tc>
          <w:tcPr>
            <w:tcW w:w="1895" w:type="dxa"/>
            <w:tcBorders>
              <w:top w:val="nil"/>
              <w:left w:val="nil"/>
              <w:bottom w:val="single" w:sz="4" w:space="0" w:color="1F3864" w:themeColor="accent1" w:themeShade="80"/>
              <w:right w:val="nil"/>
            </w:tcBorders>
            <w:vAlign w:val="center"/>
          </w:tcPr>
          <w:p w14:paraId="4967089A"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120,8</w:t>
            </w:r>
          </w:p>
        </w:tc>
        <w:tc>
          <w:tcPr>
            <w:tcW w:w="1812" w:type="dxa"/>
            <w:tcBorders>
              <w:top w:val="nil"/>
              <w:left w:val="nil"/>
              <w:bottom w:val="single" w:sz="4" w:space="0" w:color="1F3864" w:themeColor="accent1" w:themeShade="80"/>
              <w:right w:val="nil"/>
            </w:tcBorders>
            <w:shd w:val="clear" w:color="auto" w:fill="EEF1F8"/>
            <w:vAlign w:val="center"/>
          </w:tcPr>
          <w:p w14:paraId="10C1DA35"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229,1</w:t>
            </w:r>
          </w:p>
        </w:tc>
        <w:tc>
          <w:tcPr>
            <w:tcW w:w="1585" w:type="dxa"/>
            <w:tcBorders>
              <w:top w:val="nil"/>
              <w:left w:val="nil"/>
              <w:bottom w:val="single" w:sz="4" w:space="0" w:color="1F3864" w:themeColor="accent1" w:themeShade="80"/>
              <w:right w:val="nil"/>
            </w:tcBorders>
            <w:vAlign w:val="center"/>
          </w:tcPr>
          <w:p w14:paraId="77DCEA0F"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90%</w:t>
            </w:r>
          </w:p>
        </w:tc>
      </w:tr>
      <w:tr w:rsidR="00637A57" w:rsidRPr="006A118F" w14:paraId="5E7F5273"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hideMark/>
          </w:tcPr>
          <w:p w14:paraId="7C3CEC7C" w14:textId="7FC840E6" w:rsidR="00637A57" w:rsidRPr="000632A7" w:rsidRDefault="00637A57" w:rsidP="00637A57">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eastAsia="el-GR"/>
              </w:rPr>
              <w:t>EBITDA</w:t>
            </w:r>
            <w:r w:rsidR="000632A7" w:rsidRPr="000632A7">
              <w:rPr>
                <w:rFonts w:ascii="Calibri" w:eastAsia="Times New Roman" w:hAnsi="Calibri" w:cs="Calibri"/>
                <w:color w:val="243587"/>
                <w:sz w:val="22"/>
                <w:szCs w:val="22"/>
                <w:vertAlign w:val="superscript"/>
                <w:lang w:val="el-GR" w:eastAsia="el-GR"/>
              </w:rPr>
              <w:t>1</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484959A4"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(16,1)</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4100C783"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19,3</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55F2CBBF"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w:t>
            </w:r>
          </w:p>
        </w:tc>
      </w:tr>
      <w:tr w:rsidR="00637A57" w:rsidRPr="006A118F" w14:paraId="33A913F5"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hideMark/>
          </w:tcPr>
          <w:p w14:paraId="558AED7A" w14:textId="77777777" w:rsidR="00637A57" w:rsidRPr="00586584" w:rsidRDefault="00637A57" w:rsidP="00637A57">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Κέρδη</w:t>
            </w:r>
            <w:proofErr w:type="spellEnd"/>
            <w:r w:rsidRPr="00586584">
              <w:rPr>
                <w:rFonts w:ascii="Calibri" w:eastAsia="Times New Roman" w:hAnsi="Calibri" w:cs="Calibri"/>
                <w:color w:val="243587"/>
                <w:sz w:val="22"/>
                <w:szCs w:val="22"/>
                <w:lang w:eastAsia="el-GR"/>
              </w:rPr>
              <w:t xml:space="preserve"> / (</w:t>
            </w:r>
            <w:proofErr w:type="spellStart"/>
            <w:r w:rsidRPr="00586584">
              <w:rPr>
                <w:rFonts w:ascii="Calibri" w:eastAsia="Times New Roman" w:hAnsi="Calibri" w:cs="Calibri"/>
                <w:color w:val="243587"/>
                <w:sz w:val="22"/>
                <w:szCs w:val="22"/>
                <w:lang w:eastAsia="el-GR"/>
              </w:rPr>
              <w:t>Ζημίες</w:t>
            </w:r>
            <w:proofErr w:type="spellEnd"/>
            <w:r w:rsidRPr="00586584">
              <w:rPr>
                <w:rFonts w:ascii="Calibri" w:eastAsia="Times New Roman" w:hAnsi="Calibri" w:cs="Calibri"/>
                <w:color w:val="243587"/>
                <w:sz w:val="22"/>
                <w:szCs w:val="22"/>
                <w:lang w:eastAsia="el-GR"/>
              </w:rPr>
              <w:t>) π</w:t>
            </w:r>
            <w:proofErr w:type="spellStart"/>
            <w:r w:rsidRPr="00586584">
              <w:rPr>
                <w:rFonts w:ascii="Calibri" w:eastAsia="Times New Roman" w:hAnsi="Calibri" w:cs="Calibri"/>
                <w:color w:val="243587"/>
                <w:sz w:val="22"/>
                <w:szCs w:val="22"/>
                <w:lang w:eastAsia="el-GR"/>
              </w:rPr>
              <w:t>ρο</w:t>
            </w:r>
            <w:proofErr w:type="spellEnd"/>
            <w:r w:rsidRPr="00586584">
              <w:rPr>
                <w:rFonts w:ascii="Calibri" w:eastAsia="Times New Roman" w:hAnsi="Calibri" w:cs="Calibri"/>
                <w:color w:val="243587"/>
                <w:sz w:val="22"/>
                <w:szCs w:val="22"/>
                <w:lang w:eastAsia="el-GR"/>
              </w:rPr>
              <w:t xml:space="preserve"> </w:t>
            </w:r>
            <w:proofErr w:type="spellStart"/>
            <w:r w:rsidRPr="00586584">
              <w:rPr>
                <w:rFonts w:ascii="Calibri" w:eastAsia="Times New Roman" w:hAnsi="Calibri" w:cs="Calibri"/>
                <w:color w:val="243587"/>
                <w:sz w:val="22"/>
                <w:szCs w:val="22"/>
                <w:lang w:eastAsia="el-GR"/>
              </w:rPr>
              <w:t>φόρων</w:t>
            </w:r>
            <w:proofErr w:type="spellEnd"/>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4DC54A25"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(48,3)</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24BA4BB4"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(18,6)</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19F6FF33" w14:textId="2911F10C"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w:t>
            </w:r>
          </w:p>
        </w:tc>
      </w:tr>
      <w:tr w:rsidR="00637A57" w:rsidRPr="006A118F" w14:paraId="2E60EC8F"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786F5BF7" w14:textId="77777777" w:rsidR="00637A57" w:rsidRPr="007D16A4" w:rsidRDefault="00637A57" w:rsidP="00637A57">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Κέρδη / (Ζημίες) μετά από φόρους</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63281B3F" w14:textId="77777777" w:rsidR="00637A57" w:rsidRPr="009B2F91"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(38,5)</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14AA3E4B" w14:textId="77777777" w:rsidR="00637A57" w:rsidRPr="009B2F91"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(14,4)</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62248721" w14:textId="20778B1B" w:rsidR="00637A57" w:rsidRPr="009B2F91"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w:t>
            </w:r>
          </w:p>
        </w:tc>
      </w:tr>
      <w:tr w:rsidR="00637A57" w:rsidRPr="006D458E" w14:paraId="46B65223"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75FEF2F" w14:textId="77777777" w:rsidR="00637A57" w:rsidRPr="00586584" w:rsidRDefault="00637A57" w:rsidP="00637A57">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Συνολικοί</w:t>
            </w:r>
            <w:proofErr w:type="spellEnd"/>
            <w:r w:rsidRPr="00586584">
              <w:rPr>
                <w:rFonts w:ascii="Calibri" w:eastAsia="Times New Roman" w:hAnsi="Calibri" w:cs="Calibri"/>
                <w:color w:val="243587"/>
                <w:sz w:val="22"/>
                <w:szCs w:val="22"/>
                <w:lang w:eastAsia="el-GR"/>
              </w:rPr>
              <w:t xml:space="preserve"> επιβάτες (</w:t>
            </w:r>
            <w:proofErr w:type="spellStart"/>
            <w:r w:rsidRPr="00586584">
              <w:rPr>
                <w:rFonts w:ascii="Calibri" w:eastAsia="Times New Roman" w:hAnsi="Calibri" w:cs="Calibri"/>
                <w:color w:val="243587"/>
                <w:sz w:val="22"/>
                <w:szCs w:val="22"/>
                <w:lang w:eastAsia="el-GR"/>
              </w:rPr>
              <w:t>σε</w:t>
            </w:r>
            <w:proofErr w:type="spellEnd"/>
            <w:r w:rsidRPr="00586584">
              <w:rPr>
                <w:rFonts w:ascii="Calibri" w:eastAsia="Times New Roman" w:hAnsi="Calibri" w:cs="Calibri"/>
                <w:color w:val="243587"/>
                <w:sz w:val="22"/>
                <w:szCs w:val="22"/>
                <w:lang w:eastAsia="el-GR"/>
              </w:rPr>
              <w:t xml:space="preserve"> </w:t>
            </w:r>
            <w:proofErr w:type="spellStart"/>
            <w:r w:rsidRPr="00586584">
              <w:rPr>
                <w:rFonts w:ascii="Calibri" w:eastAsia="Times New Roman" w:hAnsi="Calibri" w:cs="Calibri"/>
                <w:color w:val="243587"/>
                <w:sz w:val="22"/>
                <w:szCs w:val="22"/>
                <w:lang w:eastAsia="el-GR"/>
              </w:rPr>
              <w:t>χιλ</w:t>
            </w:r>
            <w:proofErr w:type="spellEnd"/>
            <w:r w:rsidRPr="00586584">
              <w:rPr>
                <w:rFonts w:ascii="Calibri" w:eastAsia="Times New Roman" w:hAnsi="Calibri" w:cs="Calibri"/>
                <w:color w:val="243587"/>
                <w:sz w:val="22"/>
                <w:szCs w:val="22"/>
                <w:lang w:eastAsia="el-GR"/>
              </w:rPr>
              <w:t>.)</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1667B19F"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1.502</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2315E88C"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2.581</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1A86F6CA"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72%</w:t>
            </w:r>
          </w:p>
        </w:tc>
      </w:tr>
      <w:tr w:rsidR="00637A57" w:rsidRPr="006D458E" w14:paraId="50545771"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B79EFBD" w14:textId="77777777" w:rsidR="00637A57" w:rsidRPr="007649AB" w:rsidRDefault="00637A57" w:rsidP="00637A57">
            <w:pPr>
              <w:rPr>
                <w:rFonts w:ascii="Calibri" w:eastAsia="Times New Roman" w:hAnsi="Calibri" w:cs="Calibri"/>
                <w:color w:val="243587"/>
                <w:sz w:val="22"/>
                <w:szCs w:val="22"/>
                <w:lang w:val="el-GR" w:eastAsia="el-GR"/>
              </w:rPr>
            </w:pPr>
            <w:r w:rsidRPr="007649AB">
              <w:rPr>
                <w:rFonts w:ascii="Calibri" w:eastAsia="Times New Roman" w:hAnsi="Calibri" w:cs="Calibri"/>
                <w:color w:val="243587"/>
                <w:sz w:val="22"/>
                <w:szCs w:val="22"/>
                <w:lang w:val="el-GR" w:eastAsia="el-GR"/>
              </w:rPr>
              <w:t>Μέσο</w:t>
            </w:r>
            <w:r>
              <w:rPr>
                <w:rFonts w:ascii="Calibri" w:eastAsia="Times New Roman" w:hAnsi="Calibri" w:cs="Calibri"/>
                <w:color w:val="243587"/>
                <w:sz w:val="22"/>
                <w:szCs w:val="22"/>
                <w:lang w:val="el-GR" w:eastAsia="el-GR"/>
              </w:rPr>
              <w:t>ς αριθμός επιβατών</w:t>
            </w:r>
            <w:r w:rsidRPr="007649AB">
              <w:rPr>
                <w:rFonts w:ascii="Calibri" w:eastAsia="Times New Roman" w:hAnsi="Calibri" w:cs="Calibri"/>
                <w:color w:val="243587"/>
                <w:sz w:val="22"/>
                <w:szCs w:val="22"/>
                <w:lang w:val="el-GR" w:eastAsia="el-GR"/>
              </w:rPr>
              <w:t xml:space="preserve"> ανά πτήση</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6FEF1C7E"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99</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4325111F"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126</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000EBC24"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27%</w:t>
            </w:r>
          </w:p>
        </w:tc>
      </w:tr>
      <w:tr w:rsidR="00637A57" w:rsidRPr="006D458E" w14:paraId="29E09A7C"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EAB63E4" w14:textId="77777777" w:rsidR="00637A57" w:rsidRPr="007D16A4" w:rsidRDefault="00637A57" w:rsidP="00637A57">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Συντελεστής Πληρότητας</w:t>
            </w:r>
            <w:r>
              <w:rPr>
                <w:rFonts w:ascii="Calibri" w:eastAsia="Times New Roman" w:hAnsi="Calibri" w:cs="Calibri"/>
                <w:color w:val="243587"/>
                <w:sz w:val="22"/>
                <w:szCs w:val="22"/>
                <w:lang w:val="el-GR" w:eastAsia="el-GR"/>
              </w:rPr>
              <w:t xml:space="preserve"> - </w:t>
            </w:r>
            <w:r w:rsidRPr="007D16A4">
              <w:rPr>
                <w:rFonts w:ascii="Calibri" w:eastAsia="Times New Roman" w:hAnsi="Calibri" w:cs="Calibri"/>
                <w:color w:val="243587"/>
                <w:sz w:val="22"/>
                <w:szCs w:val="22"/>
                <w:lang w:val="el-GR" w:eastAsia="el-GR"/>
              </w:rPr>
              <w:t xml:space="preserve"> Τακτικές πτήσεις </w:t>
            </w:r>
          </w:p>
          <w:p w14:paraId="204C775B" w14:textId="1E15CBB2" w:rsidR="00637A57" w:rsidRPr="001B289C" w:rsidRDefault="00637A57" w:rsidP="000632A7">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w:t>
            </w:r>
            <w:r w:rsidRPr="00586584">
              <w:rPr>
                <w:rFonts w:ascii="Calibri" w:eastAsia="Times New Roman" w:hAnsi="Calibri" w:cs="Calibri"/>
                <w:color w:val="243587"/>
                <w:sz w:val="22"/>
                <w:szCs w:val="22"/>
                <w:lang w:eastAsia="el-GR"/>
              </w:rPr>
              <w:t>RPK</w:t>
            </w:r>
            <w:r w:rsidR="000632A7" w:rsidRPr="0049672F">
              <w:rPr>
                <w:rFonts w:ascii="Calibri" w:eastAsia="Times New Roman" w:hAnsi="Calibri" w:cs="Calibri"/>
                <w:color w:val="243587"/>
                <w:sz w:val="22"/>
                <w:szCs w:val="22"/>
                <w:lang w:val="el-GR" w:eastAsia="el-GR"/>
              </w:rPr>
              <w:t>/</w:t>
            </w:r>
            <w:r w:rsidRPr="00586584">
              <w:rPr>
                <w:rFonts w:ascii="Calibri" w:eastAsia="Times New Roman" w:hAnsi="Calibri" w:cs="Calibri"/>
                <w:color w:val="243587"/>
                <w:sz w:val="22"/>
                <w:szCs w:val="22"/>
                <w:lang w:eastAsia="el-GR"/>
              </w:rPr>
              <w:t>ASK</w:t>
            </w:r>
            <w:r w:rsidRPr="001B289C">
              <w:rPr>
                <w:rFonts w:ascii="Calibri" w:eastAsia="Times New Roman" w:hAnsi="Calibri" w:cs="Calibri"/>
                <w:color w:val="243587"/>
                <w:sz w:val="22"/>
                <w:szCs w:val="22"/>
                <w:lang w:val="el-GR" w:eastAsia="el-GR"/>
              </w:rPr>
              <w:t>)</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308B9728"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66,1%</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76329CBD"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81,6%</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0EB3FC3E"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15,5pp</w:t>
            </w:r>
          </w:p>
        </w:tc>
      </w:tr>
      <w:tr w:rsidR="00637A57" w:rsidRPr="006A118F" w14:paraId="0B75366D"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8935739" w14:textId="77777777" w:rsidR="00637A57" w:rsidRPr="007D16A4" w:rsidRDefault="00637A57" w:rsidP="00637A57">
            <w:pPr>
              <w:rPr>
                <w:rFonts w:ascii="Calibri" w:eastAsia="Times New Roman" w:hAnsi="Calibri" w:cs="Calibri"/>
                <w:color w:val="243587"/>
                <w:sz w:val="22"/>
                <w:szCs w:val="22"/>
                <w:lang w:val="el-GR" w:eastAsia="el-GR"/>
              </w:rPr>
            </w:pPr>
            <w:r w:rsidRPr="007D16A4">
              <w:rPr>
                <w:rFonts w:ascii="Calibri" w:eastAsia="Times New Roman" w:hAnsi="Calibri" w:cs="Calibri"/>
                <w:color w:val="243587"/>
                <w:sz w:val="22"/>
                <w:szCs w:val="22"/>
                <w:lang w:val="el-GR" w:eastAsia="el-GR"/>
              </w:rPr>
              <w:t>Συντελεστής Πληρότητας</w:t>
            </w:r>
            <w:r>
              <w:rPr>
                <w:rFonts w:ascii="Calibri" w:eastAsia="Times New Roman" w:hAnsi="Calibri" w:cs="Calibri"/>
                <w:color w:val="243587"/>
                <w:sz w:val="22"/>
                <w:szCs w:val="22"/>
                <w:lang w:val="el-GR" w:eastAsia="el-GR"/>
              </w:rPr>
              <w:t xml:space="preserve">- </w:t>
            </w:r>
            <w:r w:rsidRPr="007D16A4">
              <w:rPr>
                <w:rFonts w:ascii="Calibri" w:eastAsia="Times New Roman" w:hAnsi="Calibri" w:cs="Calibri"/>
                <w:color w:val="243587"/>
                <w:sz w:val="22"/>
                <w:szCs w:val="22"/>
                <w:lang w:val="el-GR" w:eastAsia="el-GR"/>
              </w:rPr>
              <w:t>Τακτικές Πτήσεις (Επιβάτες/Διαθέσιμες Θέσεις)</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3785E6D2"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65,4%</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26F4DA36"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80,0%</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1A640DE1"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14,6pp</w:t>
            </w:r>
          </w:p>
        </w:tc>
      </w:tr>
      <w:tr w:rsidR="00637A57" w:rsidRPr="006D458E" w14:paraId="4CDA6230"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AB5A43A" w14:textId="77777777" w:rsidR="00637A57" w:rsidRPr="00586584" w:rsidRDefault="00637A57" w:rsidP="00637A57">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Μέση</w:t>
            </w:r>
            <w:proofErr w:type="spellEnd"/>
            <w:r w:rsidRPr="00586584">
              <w:rPr>
                <w:rFonts w:ascii="Calibri" w:eastAsia="Times New Roman" w:hAnsi="Calibri" w:cs="Calibri"/>
                <w:color w:val="243587"/>
                <w:sz w:val="22"/>
                <w:szCs w:val="22"/>
                <w:lang w:eastAsia="el-GR"/>
              </w:rPr>
              <w:t xml:space="preserve"> απ</w:t>
            </w:r>
            <w:proofErr w:type="spellStart"/>
            <w:r w:rsidRPr="00586584">
              <w:rPr>
                <w:rFonts w:ascii="Calibri" w:eastAsia="Times New Roman" w:hAnsi="Calibri" w:cs="Calibri"/>
                <w:color w:val="243587"/>
                <w:sz w:val="22"/>
                <w:szCs w:val="22"/>
                <w:lang w:eastAsia="el-GR"/>
              </w:rPr>
              <w:t>όστ</w:t>
            </w:r>
            <w:proofErr w:type="spellEnd"/>
            <w:r w:rsidRPr="00586584">
              <w:rPr>
                <w:rFonts w:ascii="Calibri" w:eastAsia="Times New Roman" w:hAnsi="Calibri" w:cs="Calibri"/>
                <w:color w:val="243587"/>
                <w:sz w:val="22"/>
                <w:szCs w:val="22"/>
                <w:lang w:eastAsia="el-GR"/>
              </w:rPr>
              <w:t>αση π</w:t>
            </w:r>
            <w:proofErr w:type="spellStart"/>
            <w:r w:rsidRPr="00586584">
              <w:rPr>
                <w:rFonts w:ascii="Calibri" w:eastAsia="Times New Roman" w:hAnsi="Calibri" w:cs="Calibri"/>
                <w:color w:val="243587"/>
                <w:sz w:val="22"/>
                <w:szCs w:val="22"/>
                <w:lang w:eastAsia="el-GR"/>
              </w:rPr>
              <w:t>τήσεων</w:t>
            </w:r>
            <w:proofErr w:type="spellEnd"/>
            <w:r w:rsidRPr="00586584">
              <w:rPr>
                <w:rFonts w:ascii="Calibri" w:eastAsia="Times New Roman" w:hAnsi="Calibri" w:cs="Calibri"/>
                <w:color w:val="243587"/>
                <w:sz w:val="22"/>
                <w:szCs w:val="22"/>
                <w:lang w:eastAsia="el-GR"/>
              </w:rPr>
              <w:t xml:space="preserve"> (</w:t>
            </w:r>
            <w:proofErr w:type="spellStart"/>
            <w:r w:rsidRPr="00586584">
              <w:rPr>
                <w:rFonts w:ascii="Calibri" w:eastAsia="Times New Roman" w:hAnsi="Calibri" w:cs="Calibri"/>
                <w:color w:val="243587"/>
                <w:sz w:val="22"/>
                <w:szCs w:val="22"/>
                <w:lang w:eastAsia="el-GR"/>
              </w:rPr>
              <w:t>χλμ</w:t>
            </w:r>
            <w:proofErr w:type="spellEnd"/>
            <w:r w:rsidRPr="00586584">
              <w:rPr>
                <w:rFonts w:ascii="Calibri" w:eastAsia="Times New Roman" w:hAnsi="Calibri" w:cs="Calibri"/>
                <w:color w:val="243587"/>
                <w:sz w:val="22"/>
                <w:szCs w:val="22"/>
                <w:lang w:eastAsia="el-GR"/>
              </w:rPr>
              <w:t>.)</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156A1A7E"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829</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228709F3"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891</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31956F44"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7,4%</w:t>
            </w:r>
          </w:p>
        </w:tc>
      </w:tr>
      <w:tr w:rsidR="00637A57" w:rsidRPr="006D458E" w14:paraId="48B0F499"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B1A433C" w14:textId="6F4AC4BA" w:rsidR="00637A57" w:rsidRPr="000632A7" w:rsidRDefault="000632A7" w:rsidP="000632A7">
            <w:pPr>
              <w:rPr>
                <w:rFonts w:ascii="Calibri" w:eastAsia="Times New Roman" w:hAnsi="Calibri" w:cs="Calibri"/>
                <w:color w:val="243587"/>
                <w:sz w:val="22"/>
                <w:szCs w:val="22"/>
                <w:lang w:val="el-GR" w:eastAsia="el-GR"/>
              </w:rPr>
            </w:pPr>
            <w:r>
              <w:rPr>
                <w:rFonts w:ascii="Calibri" w:eastAsia="Times New Roman" w:hAnsi="Calibri" w:cs="Calibri"/>
                <w:color w:val="243587"/>
                <w:sz w:val="22"/>
                <w:szCs w:val="22"/>
                <w:lang w:val="en-US" w:eastAsia="el-GR"/>
              </w:rPr>
              <w:t>RASK (</w:t>
            </w:r>
            <w:r w:rsidR="00637A57" w:rsidRPr="007D16A4">
              <w:rPr>
                <w:rFonts w:ascii="Calibri" w:eastAsia="Times New Roman" w:hAnsi="Calibri" w:cs="Calibri"/>
                <w:color w:val="243587"/>
                <w:sz w:val="22"/>
                <w:szCs w:val="22"/>
                <w:lang w:val="el-GR" w:eastAsia="el-GR"/>
              </w:rPr>
              <w:t>σε</w:t>
            </w:r>
            <w:r w:rsidR="00637A57" w:rsidRPr="000632A7">
              <w:rPr>
                <w:rFonts w:ascii="Calibri" w:eastAsia="Times New Roman" w:hAnsi="Calibri" w:cs="Calibri"/>
                <w:color w:val="243587"/>
                <w:sz w:val="22"/>
                <w:szCs w:val="22"/>
                <w:lang w:val="en-US" w:eastAsia="el-GR"/>
              </w:rPr>
              <w:t xml:space="preserve"> € </w:t>
            </w:r>
            <w:r w:rsidR="00637A57" w:rsidRPr="007D16A4">
              <w:rPr>
                <w:rFonts w:ascii="Calibri" w:eastAsia="Times New Roman" w:hAnsi="Calibri" w:cs="Calibri"/>
                <w:color w:val="243587"/>
                <w:sz w:val="22"/>
                <w:szCs w:val="22"/>
                <w:lang w:val="el-GR" w:eastAsia="el-GR"/>
              </w:rPr>
              <w:t>λεπτά</w:t>
            </w:r>
            <w:r w:rsidR="00637A57" w:rsidRPr="000632A7">
              <w:rPr>
                <w:rFonts w:ascii="Calibri" w:eastAsia="Times New Roman" w:hAnsi="Calibri" w:cs="Calibri"/>
                <w:color w:val="243587"/>
                <w:sz w:val="22"/>
                <w:szCs w:val="22"/>
                <w:lang w:val="en-US" w:eastAsia="el-GR"/>
              </w:rPr>
              <w:t>)</w:t>
            </w:r>
            <w:r w:rsidRPr="000632A7">
              <w:rPr>
                <w:rFonts w:ascii="Calibri" w:eastAsia="Times New Roman" w:hAnsi="Calibri" w:cs="Calibri"/>
                <w:color w:val="243587"/>
                <w:sz w:val="22"/>
                <w:szCs w:val="22"/>
                <w:vertAlign w:val="superscript"/>
                <w:lang w:val="el-GR" w:eastAsia="el-GR"/>
              </w:rPr>
              <w:t>2</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599213F6"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5,5</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5414A2ED"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6,9</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36BB40C7"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26%</w:t>
            </w:r>
          </w:p>
        </w:tc>
      </w:tr>
      <w:tr w:rsidR="00637A57" w:rsidRPr="006D458E" w14:paraId="1EC88906"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B85CB38" w14:textId="569FF17A" w:rsidR="00637A57" w:rsidRPr="000632A7" w:rsidRDefault="00637A57" w:rsidP="00637A57">
            <w:pPr>
              <w:rPr>
                <w:rFonts w:ascii="Calibri" w:eastAsia="Times New Roman" w:hAnsi="Calibri" w:cs="Calibri"/>
                <w:color w:val="243587"/>
                <w:sz w:val="22"/>
                <w:szCs w:val="22"/>
                <w:lang w:val="en-US" w:eastAsia="el-GR"/>
              </w:rPr>
            </w:pPr>
            <w:r w:rsidRPr="00586584">
              <w:rPr>
                <w:rFonts w:ascii="Calibri" w:eastAsia="Times New Roman" w:hAnsi="Calibri" w:cs="Calibri"/>
                <w:color w:val="243587"/>
                <w:sz w:val="22"/>
                <w:szCs w:val="22"/>
                <w:lang w:eastAsia="el-GR"/>
              </w:rPr>
              <w:t>Yield</w:t>
            </w:r>
            <w:r w:rsidRPr="007D16A4">
              <w:rPr>
                <w:rFonts w:ascii="Calibri" w:eastAsia="Times New Roman" w:hAnsi="Calibri" w:cs="Calibri"/>
                <w:color w:val="243587"/>
                <w:sz w:val="22"/>
                <w:szCs w:val="22"/>
                <w:lang w:val="el-GR" w:eastAsia="el-GR"/>
              </w:rPr>
              <w:t xml:space="preserve"> (σε € λεπτά)</w:t>
            </w:r>
            <w:r w:rsidR="000632A7" w:rsidRPr="00080AFE">
              <w:rPr>
                <w:rFonts w:ascii="Calibri" w:eastAsia="Times New Roman" w:hAnsi="Calibri" w:cs="Calibri"/>
                <w:color w:val="243587"/>
                <w:sz w:val="20"/>
                <w:szCs w:val="20"/>
                <w:vertAlign w:val="superscript"/>
                <w:lang w:val="el-GR" w:eastAsia="el-GR"/>
              </w:rPr>
              <w:t>3</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26D1CF2E"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8,3</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5A05D527"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8,4</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2CCF10E9"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2%</w:t>
            </w:r>
          </w:p>
        </w:tc>
      </w:tr>
      <w:tr w:rsidR="00637A57" w:rsidRPr="006D458E" w14:paraId="0B1370CD"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35F64F6" w14:textId="7D73981B" w:rsidR="00637A57" w:rsidRPr="007D16A4" w:rsidRDefault="00637A57" w:rsidP="00637A57">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eastAsia="el-GR"/>
              </w:rPr>
              <w:t>CASK</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EBT</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level</w:t>
            </w:r>
            <w:r w:rsidRPr="007D16A4">
              <w:rPr>
                <w:rFonts w:ascii="Calibri" w:eastAsia="Times New Roman" w:hAnsi="Calibri" w:cs="Calibri"/>
                <w:color w:val="243587"/>
                <w:sz w:val="22"/>
                <w:szCs w:val="22"/>
                <w:lang w:val="el-GR" w:eastAsia="el-GR"/>
              </w:rPr>
              <w:t>, σε € λεπτά)</w:t>
            </w:r>
            <w:r w:rsidR="000632A7" w:rsidRPr="000632A7">
              <w:rPr>
                <w:rFonts w:ascii="Calibri" w:eastAsia="Times New Roman" w:hAnsi="Calibri" w:cs="Calibri"/>
                <w:color w:val="243587"/>
                <w:sz w:val="22"/>
                <w:szCs w:val="22"/>
                <w:vertAlign w:val="superscript"/>
                <w:lang w:val="el-GR" w:eastAsia="el-GR"/>
              </w:rPr>
              <w:t>4</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5DB112FF"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8,0</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6D32B479"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7,7</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4D427F1E"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-4%</w:t>
            </w:r>
          </w:p>
        </w:tc>
      </w:tr>
      <w:tr w:rsidR="00637A57" w:rsidRPr="006D458E" w14:paraId="489F1727" w14:textId="77777777" w:rsidTr="00F806F0">
        <w:trPr>
          <w:trHeight w:val="305"/>
        </w:trPr>
        <w:tc>
          <w:tcPr>
            <w:tcW w:w="49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6EADF96" w14:textId="569F304E" w:rsidR="000632A7" w:rsidRDefault="00637A57" w:rsidP="00637A57">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eastAsia="el-GR"/>
              </w:rPr>
              <w:t>CASK</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EBT</w:t>
            </w:r>
            <w:r w:rsidRPr="007D16A4">
              <w:rPr>
                <w:rFonts w:ascii="Calibri" w:eastAsia="Times New Roman" w:hAnsi="Calibri" w:cs="Calibri"/>
                <w:color w:val="243587"/>
                <w:sz w:val="22"/>
                <w:szCs w:val="22"/>
                <w:lang w:val="el-GR" w:eastAsia="el-GR"/>
              </w:rPr>
              <w:t xml:space="preserve"> </w:t>
            </w:r>
            <w:r w:rsidRPr="00586584">
              <w:rPr>
                <w:rFonts w:ascii="Calibri" w:eastAsia="Times New Roman" w:hAnsi="Calibri" w:cs="Calibri"/>
                <w:color w:val="243587"/>
                <w:sz w:val="22"/>
                <w:szCs w:val="22"/>
                <w:lang w:eastAsia="el-GR"/>
              </w:rPr>
              <w:t>level</w:t>
            </w:r>
            <w:r w:rsidRPr="007D16A4">
              <w:rPr>
                <w:rFonts w:ascii="Calibri" w:eastAsia="Times New Roman" w:hAnsi="Calibri" w:cs="Calibri"/>
                <w:color w:val="243587"/>
                <w:sz w:val="22"/>
                <w:szCs w:val="22"/>
                <w:lang w:val="el-GR" w:eastAsia="el-GR"/>
              </w:rPr>
              <w:t>, σε € λεπτά)</w:t>
            </w:r>
            <w:r w:rsidR="000632A7" w:rsidRPr="000632A7">
              <w:rPr>
                <w:rFonts w:ascii="Calibri" w:eastAsia="Times New Roman" w:hAnsi="Calibri" w:cs="Calibri"/>
                <w:color w:val="243587"/>
                <w:sz w:val="22"/>
                <w:szCs w:val="22"/>
                <w:vertAlign w:val="superscript"/>
                <w:lang w:val="el-GR" w:eastAsia="el-GR"/>
              </w:rPr>
              <w:t>4</w:t>
            </w:r>
            <w:r w:rsidRPr="007D16A4">
              <w:rPr>
                <w:rFonts w:ascii="Calibri" w:eastAsia="Times New Roman" w:hAnsi="Calibri" w:cs="Calibri"/>
                <w:color w:val="243587"/>
                <w:sz w:val="22"/>
                <w:szCs w:val="22"/>
                <w:lang w:val="el-GR" w:eastAsia="el-GR"/>
              </w:rPr>
              <w:t xml:space="preserve"> </w:t>
            </w:r>
          </w:p>
          <w:p w14:paraId="0955D93C" w14:textId="0EFA16BA" w:rsidR="00637A57" w:rsidRPr="007D16A4" w:rsidRDefault="000632A7" w:rsidP="00637A57">
            <w:pPr>
              <w:rPr>
                <w:rFonts w:ascii="Calibri" w:eastAsia="Times New Roman" w:hAnsi="Calibri" w:cs="Calibri"/>
                <w:color w:val="243587"/>
                <w:sz w:val="22"/>
                <w:szCs w:val="22"/>
                <w:lang w:val="el-GR" w:eastAsia="el-GR"/>
              </w:rPr>
            </w:pPr>
            <w:r w:rsidRPr="0049672F">
              <w:rPr>
                <w:rFonts w:ascii="Calibri" w:eastAsia="Times New Roman" w:hAnsi="Calibri" w:cs="Calibri"/>
                <w:color w:val="243587"/>
                <w:sz w:val="22"/>
                <w:szCs w:val="22"/>
                <w:lang w:val="el-GR" w:eastAsia="el-GR"/>
              </w:rPr>
              <w:t xml:space="preserve"> </w:t>
            </w:r>
            <w:r w:rsidR="00637A57" w:rsidRPr="007D16A4">
              <w:rPr>
                <w:rFonts w:ascii="Calibri" w:eastAsia="Times New Roman" w:hAnsi="Calibri" w:cs="Calibri"/>
                <w:color w:val="243587"/>
                <w:sz w:val="22"/>
                <w:szCs w:val="22"/>
                <w:lang w:val="el-GR" w:eastAsia="el-GR"/>
              </w:rPr>
              <w:t>– εκτός κόστους καυσίμων</w:t>
            </w:r>
          </w:p>
        </w:tc>
        <w:tc>
          <w:tcPr>
            <w:tcW w:w="1895" w:type="dxa"/>
            <w:tcBorders>
              <w:top w:val="single" w:sz="4" w:space="0" w:color="1F3864" w:themeColor="accent1" w:themeShade="80"/>
              <w:left w:val="nil"/>
              <w:bottom w:val="single" w:sz="4" w:space="0" w:color="1F3864" w:themeColor="accent1" w:themeShade="80"/>
              <w:right w:val="nil"/>
            </w:tcBorders>
            <w:vAlign w:val="center"/>
          </w:tcPr>
          <w:p w14:paraId="3D7B90B0" w14:textId="77777777" w:rsidR="00637A57" w:rsidRPr="00F257B8" w:rsidRDefault="00637A57" w:rsidP="00637A57">
            <w:pPr>
              <w:jc w:val="center"/>
              <w:rPr>
                <w:rFonts w:ascii="Calibri" w:eastAsia="Times New Roman" w:hAnsi="Calibri" w:cs="Calibri"/>
                <w:color w:val="243587"/>
                <w:sz w:val="22"/>
                <w:szCs w:val="22"/>
                <w:lang w:eastAsia="el-GR"/>
              </w:rPr>
            </w:pPr>
            <w:r w:rsidRPr="007273C2">
              <w:rPr>
                <w:rFonts w:ascii="Calibri" w:eastAsia="Times New Roman" w:hAnsi="Calibri" w:cs="Calibri"/>
                <w:color w:val="243587"/>
                <w:sz w:val="22"/>
                <w:szCs w:val="22"/>
                <w:lang w:eastAsia="el-GR"/>
              </w:rPr>
              <w:t>6,5</w:t>
            </w:r>
          </w:p>
        </w:tc>
        <w:tc>
          <w:tcPr>
            <w:tcW w:w="1812" w:type="dxa"/>
            <w:tcBorders>
              <w:top w:val="single" w:sz="4" w:space="0" w:color="1F3864" w:themeColor="accent1" w:themeShade="80"/>
              <w:left w:val="nil"/>
              <w:bottom w:val="single" w:sz="4" w:space="0" w:color="1F3864" w:themeColor="accent1" w:themeShade="80"/>
              <w:right w:val="nil"/>
            </w:tcBorders>
            <w:shd w:val="clear" w:color="auto" w:fill="EEF1F8"/>
            <w:vAlign w:val="center"/>
          </w:tcPr>
          <w:p w14:paraId="486A8B20"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5,8</w:t>
            </w:r>
          </w:p>
        </w:tc>
        <w:tc>
          <w:tcPr>
            <w:tcW w:w="1585" w:type="dxa"/>
            <w:tcBorders>
              <w:top w:val="single" w:sz="4" w:space="0" w:color="1F3864" w:themeColor="accent1" w:themeShade="80"/>
              <w:left w:val="nil"/>
              <w:bottom w:val="single" w:sz="4" w:space="0" w:color="1F3864" w:themeColor="accent1" w:themeShade="80"/>
              <w:right w:val="nil"/>
            </w:tcBorders>
            <w:vAlign w:val="center"/>
          </w:tcPr>
          <w:p w14:paraId="3A6826A3" w14:textId="77777777" w:rsidR="00637A57" w:rsidRPr="00F257B8" w:rsidRDefault="00637A57" w:rsidP="00637A57">
            <w:pPr>
              <w:jc w:val="center"/>
              <w:rPr>
                <w:rFonts w:ascii="Calibri" w:eastAsia="Times New Roman" w:hAnsi="Calibri" w:cs="Calibri"/>
                <w:color w:val="243587"/>
                <w:sz w:val="22"/>
                <w:szCs w:val="22"/>
                <w:lang w:eastAsia="el-GR"/>
              </w:rPr>
            </w:pPr>
            <w:r w:rsidRPr="00637A57">
              <w:rPr>
                <w:rFonts w:ascii="Calibri" w:eastAsia="Times New Roman" w:hAnsi="Calibri" w:cs="Calibri"/>
                <w:color w:val="243587"/>
                <w:sz w:val="22"/>
                <w:szCs w:val="22"/>
                <w:lang w:eastAsia="el-GR"/>
              </w:rPr>
              <w:t>-11%</w:t>
            </w:r>
          </w:p>
        </w:tc>
      </w:tr>
      <w:bookmarkEnd w:id="6"/>
    </w:tbl>
    <w:p w14:paraId="1A480824" w14:textId="77777777" w:rsidR="00645A95" w:rsidRDefault="00645A95" w:rsidP="00645A95">
      <w:pPr>
        <w:ind w:right="6"/>
        <w:jc w:val="both"/>
        <w:rPr>
          <w:rFonts w:cstheme="minorHAnsi"/>
          <w:color w:val="243587"/>
          <w:sz w:val="22"/>
          <w:szCs w:val="22"/>
          <w:lang w:val="el-GR"/>
        </w:rPr>
      </w:pPr>
    </w:p>
    <w:p w14:paraId="586CFFCE" w14:textId="151F6F13" w:rsidR="00E76799" w:rsidRPr="000632A7" w:rsidRDefault="000632A7" w:rsidP="000632A7">
      <w:pPr>
        <w:jc w:val="both"/>
        <w:rPr>
          <w:rFonts w:cstheme="minorHAnsi"/>
          <w:color w:val="243587"/>
          <w:sz w:val="18"/>
          <w:szCs w:val="18"/>
          <w:lang w:val="el-GR"/>
        </w:rPr>
      </w:pPr>
      <w:r w:rsidRPr="000632A7">
        <w:rPr>
          <w:rFonts w:cstheme="minorHAnsi"/>
          <w:color w:val="243587"/>
          <w:sz w:val="18"/>
          <w:szCs w:val="18"/>
          <w:lang w:val="el-GR"/>
        </w:rPr>
        <w:t>Σημειώσεις:</w:t>
      </w:r>
    </w:p>
    <w:p w14:paraId="7D821A79" w14:textId="77777777" w:rsidR="000632A7" w:rsidRPr="000632A7" w:rsidRDefault="000632A7" w:rsidP="00DA2500">
      <w:pPr>
        <w:pStyle w:val="ListParagraph"/>
        <w:numPr>
          <w:ilvl w:val="0"/>
          <w:numId w:val="6"/>
        </w:numPr>
        <w:ind w:left="142" w:hanging="142"/>
        <w:jc w:val="both"/>
        <w:rPr>
          <w:rFonts w:cstheme="minorHAnsi"/>
          <w:color w:val="243587"/>
          <w:sz w:val="18"/>
          <w:szCs w:val="18"/>
          <w:lang w:val="el-GR"/>
        </w:rPr>
      </w:pPr>
      <w:r w:rsidRPr="000632A7">
        <w:rPr>
          <w:rFonts w:cstheme="minorHAnsi"/>
          <w:color w:val="243587"/>
          <w:sz w:val="18"/>
          <w:szCs w:val="18"/>
          <w:lang w:val="el-GR"/>
        </w:rPr>
        <w:t>Κέρδη / (Ζημίες) προ φόρων, χρηματοδοτικών και επενδυτικών αποτελεσμάτων και αποσβέσεων.</w:t>
      </w:r>
    </w:p>
    <w:p w14:paraId="54E6D58A" w14:textId="5952279F" w:rsidR="000632A7" w:rsidRPr="000632A7" w:rsidRDefault="000632A7" w:rsidP="00DA2500">
      <w:pPr>
        <w:pStyle w:val="ListParagraph"/>
        <w:numPr>
          <w:ilvl w:val="0"/>
          <w:numId w:val="6"/>
        </w:numPr>
        <w:ind w:left="142" w:hanging="142"/>
        <w:jc w:val="both"/>
        <w:rPr>
          <w:rFonts w:cstheme="minorHAnsi"/>
          <w:color w:val="243587"/>
          <w:sz w:val="18"/>
          <w:szCs w:val="18"/>
          <w:lang w:val="el-GR"/>
        </w:rPr>
      </w:pPr>
      <w:r w:rsidRPr="000632A7">
        <w:rPr>
          <w:rFonts w:cstheme="minorHAnsi"/>
          <w:color w:val="243587"/>
          <w:sz w:val="18"/>
          <w:szCs w:val="18"/>
          <w:lang w:val="el-GR"/>
        </w:rPr>
        <w:t>Μέσο έσοδο ανά χιλιομετρική θέση, δ</w:t>
      </w:r>
      <w:r w:rsidR="001B289C" w:rsidRPr="000632A7">
        <w:rPr>
          <w:rFonts w:cstheme="minorHAnsi"/>
          <w:color w:val="243587"/>
          <w:sz w:val="18"/>
          <w:szCs w:val="18"/>
          <w:lang w:val="el-GR"/>
        </w:rPr>
        <w:t>ε λαμβάνονται υπόψιν τα Λοιπά Έσοδα.</w:t>
      </w:r>
    </w:p>
    <w:p w14:paraId="060472AD" w14:textId="3FC6DA79" w:rsidR="000632A7" w:rsidRPr="000632A7" w:rsidRDefault="000632A7" w:rsidP="00DA2500">
      <w:pPr>
        <w:pStyle w:val="ListParagraph"/>
        <w:numPr>
          <w:ilvl w:val="0"/>
          <w:numId w:val="6"/>
        </w:numPr>
        <w:ind w:left="142" w:hanging="142"/>
        <w:jc w:val="both"/>
        <w:rPr>
          <w:rFonts w:cstheme="minorHAnsi"/>
          <w:color w:val="243587"/>
          <w:sz w:val="18"/>
          <w:szCs w:val="18"/>
          <w:lang w:val="el-GR"/>
        </w:rPr>
      </w:pPr>
      <w:r w:rsidRPr="000632A7">
        <w:rPr>
          <w:rFonts w:cstheme="minorHAnsi"/>
          <w:color w:val="243587"/>
          <w:sz w:val="18"/>
          <w:szCs w:val="18"/>
          <w:lang w:val="el-GR"/>
        </w:rPr>
        <w:t xml:space="preserve">Μέσο έσοδο ανά χιλιομετρικό επιβάτη, δε λαμβάνονται υπόψιν τα Λοιπά Έσοδα. </w:t>
      </w:r>
    </w:p>
    <w:p w14:paraId="0767BE6C" w14:textId="340CFAC7" w:rsidR="000632A7" w:rsidRPr="000632A7" w:rsidRDefault="000632A7" w:rsidP="00DA2500">
      <w:pPr>
        <w:pStyle w:val="ListParagraph"/>
        <w:numPr>
          <w:ilvl w:val="0"/>
          <w:numId w:val="6"/>
        </w:numPr>
        <w:ind w:left="142" w:hanging="142"/>
        <w:jc w:val="both"/>
        <w:rPr>
          <w:rFonts w:cstheme="minorHAnsi"/>
          <w:color w:val="243587"/>
          <w:sz w:val="18"/>
          <w:szCs w:val="18"/>
          <w:lang w:val="el-GR"/>
        </w:rPr>
      </w:pPr>
      <w:r w:rsidRPr="000632A7">
        <w:rPr>
          <w:rFonts w:cstheme="minorHAnsi"/>
          <w:color w:val="243587"/>
          <w:sz w:val="18"/>
          <w:szCs w:val="18"/>
          <w:lang w:val="el-GR"/>
        </w:rPr>
        <w:t>Μέσο κόστος ανά χιλιομετρική θέση</w:t>
      </w:r>
      <w:r>
        <w:rPr>
          <w:rFonts w:cstheme="minorHAnsi"/>
          <w:color w:val="243587"/>
          <w:sz w:val="18"/>
          <w:szCs w:val="18"/>
          <w:lang w:val="el-GR"/>
        </w:rPr>
        <w:t>.</w:t>
      </w:r>
    </w:p>
    <w:p w14:paraId="30AAC586" w14:textId="1E9D5B3B" w:rsidR="000632A7" w:rsidRPr="000632A7" w:rsidRDefault="000632A7" w:rsidP="000632A7">
      <w:pPr>
        <w:rPr>
          <w:rFonts w:cstheme="minorHAnsi"/>
          <w:color w:val="243587"/>
          <w:sz w:val="22"/>
          <w:szCs w:val="22"/>
          <w:vertAlign w:val="superscript"/>
          <w:lang w:val="el-GR"/>
        </w:rPr>
      </w:pPr>
    </w:p>
    <w:p w14:paraId="1E04AF76" w14:textId="77777777" w:rsidR="00E76799" w:rsidRDefault="00E76799" w:rsidP="00645A95">
      <w:pPr>
        <w:ind w:right="6"/>
        <w:jc w:val="both"/>
        <w:rPr>
          <w:rFonts w:cstheme="minorHAnsi"/>
          <w:color w:val="243587"/>
          <w:sz w:val="22"/>
          <w:szCs w:val="22"/>
          <w:lang w:val="el-GR"/>
        </w:rPr>
      </w:pPr>
    </w:p>
    <w:p w14:paraId="34CC0C59" w14:textId="77777777" w:rsidR="00E76799" w:rsidRDefault="00E76799" w:rsidP="00645A95">
      <w:pPr>
        <w:ind w:right="6"/>
        <w:jc w:val="both"/>
        <w:rPr>
          <w:rFonts w:cstheme="minorHAnsi"/>
          <w:color w:val="243587"/>
          <w:sz w:val="22"/>
          <w:szCs w:val="22"/>
          <w:lang w:val="el-GR"/>
        </w:rPr>
      </w:pPr>
    </w:p>
    <w:p w14:paraId="13027AF1" w14:textId="77777777" w:rsidR="00E76799" w:rsidRDefault="00E76799" w:rsidP="00645A95">
      <w:pPr>
        <w:ind w:right="6"/>
        <w:jc w:val="both"/>
        <w:rPr>
          <w:rFonts w:cstheme="minorHAnsi"/>
          <w:color w:val="243587"/>
          <w:sz w:val="22"/>
          <w:szCs w:val="22"/>
          <w:lang w:val="el-GR"/>
        </w:rPr>
      </w:pPr>
    </w:p>
    <w:p w14:paraId="61332366" w14:textId="77777777" w:rsidR="00E76799" w:rsidRDefault="00E76799" w:rsidP="00645A95">
      <w:pPr>
        <w:ind w:right="6"/>
        <w:jc w:val="both"/>
        <w:rPr>
          <w:rFonts w:cstheme="minorHAnsi"/>
          <w:color w:val="243587"/>
          <w:sz w:val="22"/>
          <w:szCs w:val="22"/>
          <w:lang w:val="el-GR"/>
        </w:rPr>
      </w:pPr>
    </w:p>
    <w:p w14:paraId="01E1F493" w14:textId="77777777" w:rsidR="00E76799" w:rsidRDefault="00E76799" w:rsidP="00645A95">
      <w:pPr>
        <w:ind w:right="6"/>
        <w:jc w:val="both"/>
        <w:rPr>
          <w:rFonts w:cstheme="minorHAnsi"/>
          <w:color w:val="243587"/>
          <w:sz w:val="22"/>
          <w:szCs w:val="22"/>
          <w:lang w:val="el-GR"/>
        </w:rPr>
      </w:pPr>
    </w:p>
    <w:p w14:paraId="547049D3" w14:textId="77777777" w:rsidR="00E76799" w:rsidRDefault="00E76799" w:rsidP="00645A95">
      <w:pPr>
        <w:ind w:right="6"/>
        <w:jc w:val="both"/>
        <w:rPr>
          <w:rFonts w:cstheme="minorHAnsi"/>
          <w:color w:val="243587"/>
          <w:sz w:val="22"/>
          <w:szCs w:val="22"/>
          <w:lang w:val="el-GR"/>
        </w:rPr>
      </w:pPr>
    </w:p>
    <w:p w14:paraId="72CCF3C0" w14:textId="77777777" w:rsidR="00E76799" w:rsidRDefault="00E76799" w:rsidP="00645A95">
      <w:pPr>
        <w:ind w:right="6"/>
        <w:jc w:val="both"/>
        <w:rPr>
          <w:rFonts w:cstheme="minorHAnsi"/>
          <w:color w:val="243587"/>
          <w:sz w:val="22"/>
          <w:szCs w:val="22"/>
          <w:lang w:val="el-GR"/>
        </w:rPr>
      </w:pPr>
    </w:p>
    <w:p w14:paraId="3BB00443" w14:textId="77777777" w:rsidR="00E76799" w:rsidRDefault="00E76799" w:rsidP="00645A95">
      <w:pPr>
        <w:ind w:right="6"/>
        <w:jc w:val="both"/>
        <w:rPr>
          <w:rFonts w:cstheme="minorHAnsi"/>
          <w:color w:val="243587"/>
          <w:sz w:val="22"/>
          <w:szCs w:val="22"/>
          <w:lang w:val="el-GR"/>
        </w:rPr>
      </w:pPr>
    </w:p>
    <w:p w14:paraId="6AA04D63" w14:textId="5AEF6BAF" w:rsidR="00E76799" w:rsidRDefault="00E76799" w:rsidP="00645A95">
      <w:pPr>
        <w:ind w:right="6"/>
        <w:jc w:val="both"/>
        <w:rPr>
          <w:rFonts w:cstheme="minorHAnsi"/>
          <w:color w:val="243587"/>
          <w:sz w:val="22"/>
          <w:szCs w:val="22"/>
          <w:lang w:val="el-GR"/>
        </w:rPr>
      </w:pPr>
    </w:p>
    <w:p w14:paraId="2E02F423" w14:textId="425CBB35" w:rsidR="00D659E5" w:rsidRDefault="00D659E5" w:rsidP="00645A95">
      <w:pPr>
        <w:ind w:right="6"/>
        <w:jc w:val="both"/>
        <w:rPr>
          <w:rFonts w:cstheme="minorHAnsi"/>
          <w:color w:val="243587"/>
          <w:sz w:val="22"/>
          <w:szCs w:val="22"/>
          <w:lang w:val="el-GR"/>
        </w:rPr>
      </w:pPr>
    </w:p>
    <w:p w14:paraId="7A86A795" w14:textId="1AD7FC56" w:rsidR="00D659E5" w:rsidRDefault="00D659E5" w:rsidP="00645A95">
      <w:pPr>
        <w:ind w:right="6"/>
        <w:jc w:val="both"/>
        <w:rPr>
          <w:rFonts w:cstheme="minorHAnsi"/>
          <w:color w:val="243587"/>
          <w:sz w:val="22"/>
          <w:szCs w:val="22"/>
          <w:lang w:val="el-GR"/>
        </w:rPr>
      </w:pPr>
    </w:p>
    <w:p w14:paraId="6AF836CC" w14:textId="77777777" w:rsidR="00D659E5" w:rsidRDefault="00D659E5" w:rsidP="00645A95">
      <w:pPr>
        <w:ind w:right="6"/>
        <w:jc w:val="both"/>
        <w:rPr>
          <w:rFonts w:cstheme="minorHAnsi"/>
          <w:color w:val="243587"/>
          <w:sz w:val="22"/>
          <w:szCs w:val="22"/>
          <w:lang w:val="el-GR"/>
        </w:rPr>
      </w:pPr>
    </w:p>
    <w:p w14:paraId="22C5C102" w14:textId="77777777" w:rsidR="00E76799" w:rsidRPr="00077525" w:rsidRDefault="00E76799" w:rsidP="00645A95">
      <w:pPr>
        <w:ind w:right="6"/>
        <w:jc w:val="both"/>
        <w:rPr>
          <w:rFonts w:cstheme="minorHAnsi"/>
          <w:color w:val="243587"/>
          <w:sz w:val="22"/>
          <w:szCs w:val="22"/>
          <w:lang w:val="el-GR"/>
        </w:rPr>
      </w:pPr>
    </w:p>
    <w:p w14:paraId="2B2FC74D" w14:textId="1E5F426F" w:rsidR="00313A0E" w:rsidRDefault="00313A0E" w:rsidP="00313A0E">
      <w:pPr>
        <w:spacing w:after="120"/>
        <w:jc w:val="both"/>
        <w:rPr>
          <w:rFonts w:cstheme="minorHAnsi"/>
          <w:b/>
          <w:bCs/>
          <w:color w:val="243587"/>
          <w:sz w:val="22"/>
          <w:szCs w:val="22"/>
          <w:lang w:val="el-GR"/>
        </w:rPr>
      </w:pPr>
      <w:r>
        <w:rPr>
          <w:rFonts w:cstheme="minorHAnsi"/>
          <w:b/>
          <w:bCs/>
          <w:color w:val="243587"/>
          <w:sz w:val="22"/>
          <w:szCs w:val="22"/>
          <w:lang w:val="el-GR"/>
        </w:rPr>
        <w:lastRenderedPageBreak/>
        <w:t>Ενοποιημένη Κατάσταση λογαριασμού αποτελεσμάτων</w:t>
      </w:r>
      <w:r w:rsidRPr="00642598">
        <w:rPr>
          <w:rFonts w:cstheme="minorHAnsi"/>
          <w:b/>
          <w:bCs/>
          <w:color w:val="243587"/>
          <w:sz w:val="22"/>
          <w:szCs w:val="22"/>
          <w:lang w:val="el-GR"/>
        </w:rPr>
        <w:t xml:space="preserve"> </w:t>
      </w:r>
      <w:r w:rsidR="00E76799">
        <w:rPr>
          <w:rFonts w:cstheme="minorHAnsi"/>
          <w:b/>
          <w:bCs/>
          <w:color w:val="243587"/>
          <w:sz w:val="22"/>
          <w:szCs w:val="22"/>
          <w:lang w:val="el-GR"/>
        </w:rPr>
        <w:t xml:space="preserve">πρώτου </w:t>
      </w:r>
      <w:r>
        <w:rPr>
          <w:rFonts w:cstheme="minorHAnsi"/>
          <w:b/>
          <w:bCs/>
          <w:color w:val="243587"/>
          <w:sz w:val="22"/>
          <w:szCs w:val="22"/>
          <w:lang w:val="el-GR"/>
        </w:rPr>
        <w:t>τριμήνου 202</w:t>
      </w:r>
      <w:r w:rsidR="00E76799">
        <w:rPr>
          <w:rFonts w:cstheme="minorHAnsi"/>
          <w:b/>
          <w:bCs/>
          <w:color w:val="243587"/>
          <w:sz w:val="22"/>
          <w:szCs w:val="22"/>
          <w:lang w:val="el-GR"/>
        </w:rPr>
        <w:t>3</w:t>
      </w:r>
    </w:p>
    <w:p w14:paraId="47845233" w14:textId="77777777" w:rsidR="009A329A" w:rsidRDefault="009A329A" w:rsidP="00313A0E">
      <w:pPr>
        <w:spacing w:after="120"/>
        <w:jc w:val="both"/>
        <w:rPr>
          <w:rFonts w:cstheme="minorHAnsi"/>
          <w:b/>
          <w:bCs/>
          <w:color w:val="243587"/>
          <w:sz w:val="22"/>
          <w:szCs w:val="22"/>
          <w:lang w:val="el-GR"/>
        </w:rPr>
      </w:pPr>
    </w:p>
    <w:tbl>
      <w:tblPr>
        <w:tblW w:w="10466" w:type="dxa"/>
        <w:tblCellMar>
          <w:left w:w="0" w:type="dxa"/>
          <w:right w:w="0" w:type="dxa"/>
        </w:tblCellMar>
        <w:tblLook w:val="04A0" w:firstRow="1" w:lastRow="0" w:firstColumn="1" w:lastColumn="0" w:noHBand="0" w:noVBand="1"/>
      </w:tblPr>
      <w:tblGrid>
        <w:gridCol w:w="6096"/>
        <w:gridCol w:w="1701"/>
        <w:gridCol w:w="1417"/>
        <w:gridCol w:w="1252"/>
      </w:tblGrid>
      <w:tr w:rsidR="00E76799" w:rsidRPr="006D458E" w14:paraId="7C890ED1" w14:textId="77777777" w:rsidTr="00F806F0">
        <w:trPr>
          <w:trHeight w:val="176"/>
        </w:trPr>
        <w:tc>
          <w:tcPr>
            <w:tcW w:w="6096" w:type="dxa"/>
            <w:tcBorders>
              <w:top w:val="nil"/>
              <w:left w:val="nil"/>
              <w:bottom w:val="nil"/>
              <w:right w:val="nil"/>
            </w:tcBorders>
            <w:shd w:val="clear" w:color="auto" w:fill="002677"/>
            <w:tcMar>
              <w:top w:w="13" w:type="dxa"/>
              <w:left w:w="97" w:type="dxa"/>
              <w:bottom w:w="0" w:type="dxa"/>
              <w:right w:w="97" w:type="dxa"/>
            </w:tcMar>
            <w:vAlign w:val="center"/>
          </w:tcPr>
          <w:p w14:paraId="62FDA91E" w14:textId="77777777" w:rsidR="00E76799" w:rsidRPr="00C84315" w:rsidRDefault="00E76799" w:rsidP="00E76799">
            <w:pPr>
              <w:rPr>
                <w:rFonts w:eastAsia="Times New Roman" w:cstheme="minorHAnsi"/>
                <w:sz w:val="22"/>
                <w:szCs w:val="22"/>
                <w:lang w:val="en-US" w:eastAsia="el-GR"/>
              </w:rPr>
            </w:pPr>
            <w:r w:rsidRPr="00C84315">
              <w:rPr>
                <w:rFonts w:cstheme="minorHAnsi"/>
                <w:color w:val="FFFFFF" w:themeColor="background1"/>
                <w:kern w:val="24"/>
                <w:sz w:val="22"/>
                <w:szCs w:val="22"/>
                <w:lang w:val="en-US"/>
              </w:rPr>
              <w:t>(</w:t>
            </w:r>
            <w:r>
              <w:rPr>
                <w:rFonts w:cstheme="minorHAnsi"/>
                <w:color w:val="FFFFFF" w:themeColor="background1"/>
                <w:kern w:val="24"/>
                <w:sz w:val="22"/>
                <w:szCs w:val="22"/>
                <w:lang w:val="el-GR"/>
              </w:rPr>
              <w:t>σε</w:t>
            </w:r>
            <w:r w:rsidRPr="00C84315">
              <w:rPr>
                <w:rFonts w:cstheme="minorHAnsi"/>
                <w:color w:val="FFFFFF" w:themeColor="background1"/>
                <w:kern w:val="24"/>
                <w:sz w:val="22"/>
                <w:szCs w:val="22"/>
                <w:lang w:val="en-US"/>
              </w:rPr>
              <w:t xml:space="preserve"> € </w:t>
            </w:r>
            <w:proofErr w:type="spellStart"/>
            <w:r>
              <w:rPr>
                <w:rFonts w:cstheme="minorHAnsi"/>
                <w:color w:val="FFFFFF" w:themeColor="background1"/>
                <w:kern w:val="24"/>
                <w:sz w:val="22"/>
                <w:szCs w:val="22"/>
                <w:lang w:val="el-GR"/>
              </w:rPr>
              <w:t>εκατ</w:t>
            </w:r>
            <w:proofErr w:type="spellEnd"/>
            <w:r w:rsidRPr="00C84315">
              <w:rPr>
                <w:rFonts w:cstheme="minorHAnsi"/>
                <w:color w:val="FFFFFF" w:themeColor="background1"/>
                <w:kern w:val="24"/>
                <w:sz w:val="22"/>
                <w:szCs w:val="22"/>
                <w:lang w:val="en-US"/>
              </w:rPr>
              <w:t>.)</w:t>
            </w:r>
          </w:p>
        </w:tc>
        <w:tc>
          <w:tcPr>
            <w:tcW w:w="1701" w:type="dxa"/>
            <w:tcBorders>
              <w:top w:val="nil"/>
              <w:left w:val="nil"/>
              <w:bottom w:val="nil"/>
              <w:right w:val="nil"/>
            </w:tcBorders>
            <w:shd w:val="clear" w:color="auto" w:fill="002677"/>
            <w:tcMar>
              <w:top w:w="13" w:type="dxa"/>
              <w:left w:w="97" w:type="dxa"/>
              <w:bottom w:w="0" w:type="dxa"/>
              <w:right w:w="97" w:type="dxa"/>
            </w:tcMar>
            <w:vAlign w:val="center"/>
          </w:tcPr>
          <w:p w14:paraId="384DBD10" w14:textId="77777777" w:rsidR="00E76799" w:rsidRDefault="00E76799" w:rsidP="00E76799">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195AEE80" w14:textId="77777777" w:rsidR="00E76799" w:rsidRPr="00C84315" w:rsidRDefault="00E76799" w:rsidP="00E76799">
            <w:pPr>
              <w:jc w:val="center"/>
              <w:rPr>
                <w:rFonts w:eastAsia="Times New Roman" w:cstheme="minorHAnsi"/>
                <w:sz w:val="22"/>
                <w:szCs w:val="22"/>
                <w:lang w:val="el-GR" w:eastAsia="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417" w:type="dxa"/>
            <w:tcBorders>
              <w:top w:val="nil"/>
              <w:left w:val="nil"/>
              <w:bottom w:val="nil"/>
              <w:right w:val="nil"/>
            </w:tcBorders>
            <w:shd w:val="clear" w:color="auto" w:fill="002677"/>
            <w:vAlign w:val="center"/>
          </w:tcPr>
          <w:p w14:paraId="507C5640" w14:textId="77777777" w:rsidR="00E76799" w:rsidRDefault="00E76799" w:rsidP="00E76799">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4D05C677" w14:textId="77777777" w:rsidR="00E76799" w:rsidRPr="00C84315" w:rsidRDefault="00E76799" w:rsidP="00E76799">
            <w:pPr>
              <w:jc w:val="center"/>
              <w:rPr>
                <w:rFonts w:eastAsia="Times New Roman" w:cstheme="minorHAnsi"/>
                <w:sz w:val="22"/>
                <w:szCs w:val="22"/>
                <w:lang w:val="en-US" w:eastAsia="el-GR"/>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252" w:type="dxa"/>
            <w:tcBorders>
              <w:top w:val="nil"/>
              <w:left w:val="nil"/>
              <w:bottom w:val="nil"/>
              <w:right w:val="nil"/>
            </w:tcBorders>
            <w:shd w:val="clear" w:color="auto" w:fill="002677"/>
            <w:vAlign w:val="center"/>
          </w:tcPr>
          <w:p w14:paraId="719BAEAD" w14:textId="77777777" w:rsidR="00E76799" w:rsidRPr="00586584" w:rsidRDefault="00E76799" w:rsidP="00E76799">
            <w:pPr>
              <w:jc w:val="center"/>
              <w:rPr>
                <w:rFonts w:eastAsia="Times New Roman" w:cstheme="minorHAnsi"/>
                <w:sz w:val="22"/>
                <w:szCs w:val="22"/>
                <w:lang w:val="el-GR" w:eastAsia="el-GR"/>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proofErr w:type="spellStart"/>
            <w:r>
              <w:rPr>
                <w:rFonts w:cstheme="minorHAnsi"/>
                <w:color w:val="FFFFFF" w:themeColor="background1"/>
                <w:kern w:val="24"/>
                <w:sz w:val="22"/>
                <w:szCs w:val="22"/>
                <w:lang w:val="el-GR"/>
              </w:rPr>
              <w:t>μτβ</w:t>
            </w:r>
            <w:proofErr w:type="spellEnd"/>
          </w:p>
        </w:tc>
      </w:tr>
      <w:tr w:rsidR="00625AD6" w:rsidRPr="006D458E" w14:paraId="2BF78AE0"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310A5E63"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Έσοδ</w:t>
            </w:r>
            <w:proofErr w:type="spellEnd"/>
            <w:r w:rsidRPr="00586584">
              <w:rPr>
                <w:rFonts w:ascii="Calibri" w:eastAsia="Times New Roman" w:hAnsi="Calibri" w:cs="Calibri"/>
                <w:color w:val="243587"/>
                <w:sz w:val="22"/>
                <w:szCs w:val="22"/>
                <w:lang w:eastAsia="el-GR"/>
              </w:rPr>
              <w:t>α από τα</w:t>
            </w:r>
            <w:proofErr w:type="spellStart"/>
            <w:r w:rsidRPr="00586584">
              <w:rPr>
                <w:rFonts w:ascii="Calibri" w:eastAsia="Times New Roman" w:hAnsi="Calibri" w:cs="Calibri"/>
                <w:color w:val="243587"/>
                <w:sz w:val="22"/>
                <w:szCs w:val="22"/>
                <w:lang w:eastAsia="el-GR"/>
              </w:rPr>
              <w:t>κτικές</w:t>
            </w:r>
            <w:proofErr w:type="spellEnd"/>
            <w:r w:rsidRPr="00586584">
              <w:rPr>
                <w:rFonts w:ascii="Calibri" w:eastAsia="Times New Roman" w:hAnsi="Calibri" w:cs="Calibri"/>
                <w:color w:val="243587"/>
                <w:sz w:val="22"/>
                <w:szCs w:val="22"/>
                <w:lang w:eastAsia="el-GR"/>
              </w:rPr>
              <w:t xml:space="preserve"> π</w:t>
            </w:r>
            <w:proofErr w:type="spellStart"/>
            <w:r w:rsidRPr="00586584">
              <w:rPr>
                <w:rFonts w:ascii="Calibri" w:eastAsia="Times New Roman" w:hAnsi="Calibri" w:cs="Calibri"/>
                <w:color w:val="243587"/>
                <w:sz w:val="22"/>
                <w:szCs w:val="22"/>
                <w:lang w:eastAsia="el-GR"/>
              </w:rPr>
              <w:t>τήσεις</w:t>
            </w:r>
            <w:proofErr w:type="spellEnd"/>
            <w:r w:rsidRPr="00586584">
              <w:rPr>
                <w:rFonts w:ascii="Calibri" w:eastAsia="Times New Roman" w:hAnsi="Calibri" w:cs="Calibri"/>
                <w:color w:val="243587"/>
                <w:sz w:val="22"/>
                <w:szCs w:val="22"/>
                <w:lang w:eastAsia="el-GR"/>
              </w:rPr>
              <w:t xml:space="preserve"> </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75D3DC8B" w14:textId="1D0743D8"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101,6</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5BC0C5DE" w14:textId="538DCC0E"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200,0</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0D73BBC7" w14:textId="249855FD"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97%</w:t>
            </w:r>
          </w:p>
        </w:tc>
      </w:tr>
      <w:tr w:rsidR="00625AD6" w:rsidRPr="006D458E" w14:paraId="1BF0D4C9"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52977516"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Έσοδ</w:t>
            </w:r>
            <w:proofErr w:type="spellEnd"/>
            <w:r w:rsidRPr="00586584">
              <w:rPr>
                <w:rFonts w:ascii="Calibri" w:eastAsia="Times New Roman" w:hAnsi="Calibri" w:cs="Calibri"/>
                <w:color w:val="243587"/>
                <w:sz w:val="22"/>
                <w:szCs w:val="22"/>
                <w:lang w:eastAsia="el-GR"/>
              </w:rPr>
              <w:t>α από να</w:t>
            </w:r>
            <w:proofErr w:type="spellStart"/>
            <w:r w:rsidRPr="00586584">
              <w:rPr>
                <w:rFonts w:ascii="Calibri" w:eastAsia="Times New Roman" w:hAnsi="Calibri" w:cs="Calibri"/>
                <w:color w:val="243587"/>
                <w:sz w:val="22"/>
                <w:szCs w:val="22"/>
                <w:lang w:eastAsia="el-GR"/>
              </w:rPr>
              <w:t>υλωμένες</w:t>
            </w:r>
            <w:proofErr w:type="spellEnd"/>
            <w:r w:rsidRPr="00586584">
              <w:rPr>
                <w:rFonts w:ascii="Calibri" w:eastAsia="Times New Roman" w:hAnsi="Calibri" w:cs="Calibri"/>
                <w:color w:val="243587"/>
                <w:sz w:val="22"/>
                <w:szCs w:val="22"/>
                <w:lang w:eastAsia="el-GR"/>
              </w:rPr>
              <w:t xml:space="preserve"> π</w:t>
            </w:r>
            <w:proofErr w:type="spellStart"/>
            <w:r w:rsidRPr="00586584">
              <w:rPr>
                <w:rFonts w:ascii="Calibri" w:eastAsia="Times New Roman" w:hAnsi="Calibri" w:cs="Calibri"/>
                <w:color w:val="243587"/>
                <w:sz w:val="22"/>
                <w:szCs w:val="22"/>
                <w:lang w:eastAsia="el-GR"/>
              </w:rPr>
              <w:t>τήσεις</w:t>
            </w:r>
            <w:proofErr w:type="spellEnd"/>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773B24C" w14:textId="5D5087D3"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2,5</w:t>
            </w:r>
            <w:r w:rsidR="0081696E">
              <w:rPr>
                <w:rFonts w:ascii="Calibri" w:eastAsia="Times New Roman" w:hAnsi="Calibri" w:cs="Calibri"/>
                <w:color w:val="243587"/>
                <w:sz w:val="22"/>
                <w:szCs w:val="22"/>
                <w:lang w:eastAsia="el-GR"/>
              </w:rPr>
              <w:t>4</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4C8BD743" w14:textId="7CCAA36E"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w:t>
            </w:r>
            <w:r w:rsidR="0081696E">
              <w:rPr>
                <w:rFonts w:ascii="Calibri" w:eastAsia="Times New Roman" w:hAnsi="Calibri" w:cs="Calibri"/>
                <w:color w:val="243587"/>
                <w:sz w:val="22"/>
                <w:szCs w:val="22"/>
                <w:lang w:eastAsia="el-GR"/>
              </w:rPr>
              <w:t>46</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2BCE1463" w14:textId="3E6B6FA3"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w:t>
            </w:r>
          </w:p>
        </w:tc>
      </w:tr>
      <w:tr w:rsidR="00625AD6" w:rsidRPr="006D458E" w14:paraId="1ED48BAA" w14:textId="77777777" w:rsidTr="00F806F0">
        <w:trPr>
          <w:trHeight w:val="169"/>
        </w:trPr>
        <w:tc>
          <w:tcPr>
            <w:tcW w:w="6096"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11FED0E" w14:textId="77777777" w:rsidR="00625AD6" w:rsidRPr="00586584" w:rsidRDefault="00625AD6" w:rsidP="00625AD6">
            <w:pPr>
              <w:rPr>
                <w:rFonts w:ascii="Calibri" w:eastAsia="Times New Roman" w:hAnsi="Calibri" w:cs="Calibri"/>
                <w:color w:val="243587"/>
                <w:sz w:val="22"/>
                <w:szCs w:val="22"/>
                <w:lang w:val="el-GR" w:eastAsia="el-GR"/>
              </w:rPr>
            </w:pPr>
            <w:r w:rsidRPr="00586584">
              <w:rPr>
                <w:rFonts w:ascii="Calibri" w:eastAsia="Times New Roman" w:hAnsi="Calibri" w:cs="Calibri"/>
                <w:color w:val="243587"/>
                <w:sz w:val="22"/>
                <w:szCs w:val="22"/>
                <w:lang w:val="el-GR" w:eastAsia="el-GR"/>
              </w:rPr>
              <w:t>Άλλα έσοδα εκμετάλλευσης που σχετίζονται με τις πτήσεις</w:t>
            </w:r>
          </w:p>
        </w:tc>
        <w:tc>
          <w:tcPr>
            <w:tcW w:w="1701"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40D5D0E2" w14:textId="2553F28B"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16,7</w:t>
            </w:r>
          </w:p>
        </w:tc>
        <w:tc>
          <w:tcPr>
            <w:tcW w:w="1417"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65BB3AAD" w14:textId="49DFEDE4"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26,6</w:t>
            </w:r>
          </w:p>
        </w:tc>
        <w:tc>
          <w:tcPr>
            <w:tcW w:w="1252" w:type="dxa"/>
            <w:tcBorders>
              <w:top w:val="dotted" w:sz="4" w:space="0" w:color="1F3864" w:themeColor="accent1" w:themeShade="80"/>
              <w:left w:val="nil"/>
              <w:bottom w:val="single" w:sz="4" w:space="0" w:color="1F3864" w:themeColor="accent1" w:themeShade="80"/>
              <w:right w:val="nil"/>
            </w:tcBorders>
            <w:vAlign w:val="center"/>
          </w:tcPr>
          <w:p w14:paraId="5AC6FC93" w14:textId="1DCD8194"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60%</w:t>
            </w:r>
          </w:p>
        </w:tc>
      </w:tr>
      <w:tr w:rsidR="00625AD6" w:rsidRPr="00D26A2E" w14:paraId="38967B29" w14:textId="77777777" w:rsidTr="00F806F0">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AFEC0B0" w14:textId="77777777" w:rsidR="00625AD6" w:rsidRPr="00965EB1" w:rsidRDefault="00625AD6" w:rsidP="00625AD6">
            <w:pPr>
              <w:rPr>
                <w:rFonts w:ascii="Calibri" w:eastAsia="Times New Roman" w:hAnsi="Calibri" w:cs="Calibri"/>
                <w:b/>
                <w:bCs/>
                <w:color w:val="243587"/>
                <w:sz w:val="22"/>
                <w:szCs w:val="22"/>
                <w:lang w:val="el-GR" w:eastAsia="el-GR"/>
              </w:rPr>
            </w:pPr>
            <w:r w:rsidRPr="00965EB1">
              <w:rPr>
                <w:rFonts w:ascii="Calibri" w:eastAsia="Times New Roman" w:hAnsi="Calibri" w:cs="Calibri"/>
                <w:b/>
                <w:bCs/>
                <w:color w:val="243587"/>
                <w:sz w:val="22"/>
                <w:szCs w:val="22"/>
                <w:lang w:val="el-GR" w:eastAsia="el-GR"/>
              </w:rPr>
              <w:t>Έσοδα από συμβάσεις με πελάτες</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7A330829" w14:textId="01FB7F7C"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120,8</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12CD0023" w14:textId="14E0D6F2"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229,1</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5D8B0047" w14:textId="4E37E1F0"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90%</w:t>
            </w:r>
          </w:p>
        </w:tc>
      </w:tr>
      <w:tr w:rsidR="00625AD6" w:rsidRPr="006D458E" w14:paraId="75DE9C11" w14:textId="77777777" w:rsidTr="00F806F0">
        <w:trPr>
          <w:trHeight w:val="169"/>
        </w:trPr>
        <w:tc>
          <w:tcPr>
            <w:tcW w:w="6096"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7FFFA5CA"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Λοι</w:t>
            </w:r>
            <w:proofErr w:type="spellEnd"/>
            <w:r w:rsidRPr="00586584">
              <w:rPr>
                <w:rFonts w:ascii="Calibri" w:eastAsia="Times New Roman" w:hAnsi="Calibri" w:cs="Calibri"/>
                <w:color w:val="243587"/>
                <w:sz w:val="22"/>
                <w:szCs w:val="22"/>
                <w:lang w:eastAsia="el-GR"/>
              </w:rPr>
              <w:t xml:space="preserve">πά </w:t>
            </w:r>
            <w:proofErr w:type="spellStart"/>
            <w:r w:rsidRPr="00586584">
              <w:rPr>
                <w:rFonts w:ascii="Calibri" w:eastAsia="Times New Roman" w:hAnsi="Calibri" w:cs="Calibri"/>
                <w:color w:val="243587"/>
                <w:sz w:val="22"/>
                <w:szCs w:val="22"/>
                <w:lang w:eastAsia="el-GR"/>
              </w:rPr>
              <w:t>έσοδ</w:t>
            </w:r>
            <w:proofErr w:type="spellEnd"/>
            <w:r w:rsidRPr="00586584">
              <w:rPr>
                <w:rFonts w:ascii="Calibri" w:eastAsia="Times New Roman" w:hAnsi="Calibri" w:cs="Calibri"/>
                <w:color w:val="243587"/>
                <w:sz w:val="22"/>
                <w:szCs w:val="22"/>
                <w:lang w:eastAsia="el-GR"/>
              </w:rPr>
              <w:t>α</w:t>
            </w:r>
          </w:p>
        </w:tc>
        <w:tc>
          <w:tcPr>
            <w:tcW w:w="1701"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0D8824AE" w14:textId="45988B08"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6,8</w:t>
            </w:r>
          </w:p>
        </w:tc>
        <w:tc>
          <w:tcPr>
            <w:tcW w:w="1417" w:type="dxa"/>
            <w:tcBorders>
              <w:top w:val="single" w:sz="4" w:space="0" w:color="1F3864" w:themeColor="accent1" w:themeShade="80"/>
              <w:left w:val="nil"/>
              <w:bottom w:val="dotted" w:sz="4" w:space="0" w:color="1F3864" w:themeColor="accent1" w:themeShade="80"/>
              <w:right w:val="nil"/>
            </w:tcBorders>
            <w:shd w:val="clear" w:color="auto" w:fill="EFF2F9"/>
            <w:vAlign w:val="center"/>
          </w:tcPr>
          <w:p w14:paraId="3AF3E913" w14:textId="7F83B821"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7,9</w:t>
            </w:r>
          </w:p>
        </w:tc>
        <w:tc>
          <w:tcPr>
            <w:tcW w:w="1252" w:type="dxa"/>
            <w:tcBorders>
              <w:top w:val="single" w:sz="4" w:space="0" w:color="1F3864" w:themeColor="accent1" w:themeShade="80"/>
              <w:left w:val="nil"/>
              <w:bottom w:val="dotted" w:sz="4" w:space="0" w:color="1F3864" w:themeColor="accent1" w:themeShade="80"/>
              <w:right w:val="nil"/>
            </w:tcBorders>
            <w:vAlign w:val="center"/>
          </w:tcPr>
          <w:p w14:paraId="3A414AC8" w14:textId="407223FE"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16%</w:t>
            </w:r>
          </w:p>
        </w:tc>
      </w:tr>
      <w:tr w:rsidR="00625AD6" w:rsidRPr="006D458E" w14:paraId="327588F9"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781627F7" w14:textId="77777777" w:rsidR="00625AD6" w:rsidRPr="00586584" w:rsidRDefault="00625AD6" w:rsidP="00625AD6">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Πα</w:t>
            </w:r>
            <w:proofErr w:type="spellStart"/>
            <w:r w:rsidRPr="00586584">
              <w:rPr>
                <w:rFonts w:ascii="Calibri" w:eastAsia="Times New Roman" w:hAnsi="Calibri" w:cs="Calibri"/>
                <w:color w:val="243587"/>
                <w:sz w:val="22"/>
                <w:szCs w:val="22"/>
                <w:lang w:eastAsia="el-GR"/>
              </w:rPr>
              <w:t>ροχές</w:t>
            </w:r>
            <w:proofErr w:type="spellEnd"/>
            <w:r w:rsidRPr="00586584">
              <w:rPr>
                <w:rFonts w:ascii="Calibri" w:eastAsia="Times New Roman" w:hAnsi="Calibri" w:cs="Calibri"/>
                <w:color w:val="243587"/>
                <w:sz w:val="22"/>
                <w:szCs w:val="22"/>
                <w:lang w:eastAsia="el-GR"/>
              </w:rPr>
              <w:t xml:space="preserve"> </w:t>
            </w:r>
            <w:proofErr w:type="spellStart"/>
            <w:r w:rsidRPr="00586584">
              <w:rPr>
                <w:rFonts w:ascii="Calibri" w:eastAsia="Times New Roman" w:hAnsi="Calibri" w:cs="Calibri"/>
                <w:color w:val="243587"/>
                <w:sz w:val="22"/>
                <w:szCs w:val="22"/>
                <w:lang w:eastAsia="el-GR"/>
              </w:rPr>
              <w:t>σε</w:t>
            </w:r>
            <w:proofErr w:type="spellEnd"/>
            <w:r w:rsidRPr="00586584">
              <w:rPr>
                <w:rFonts w:ascii="Calibri" w:eastAsia="Times New Roman" w:hAnsi="Calibri" w:cs="Calibri"/>
                <w:color w:val="243587"/>
                <w:sz w:val="22"/>
                <w:szCs w:val="22"/>
                <w:lang w:eastAsia="el-GR"/>
              </w:rPr>
              <w:t xml:space="preserve"> </w:t>
            </w:r>
            <w:proofErr w:type="spellStart"/>
            <w:r w:rsidRPr="00586584">
              <w:rPr>
                <w:rFonts w:ascii="Calibri" w:eastAsia="Times New Roman" w:hAnsi="Calibri" w:cs="Calibri"/>
                <w:color w:val="243587"/>
                <w:sz w:val="22"/>
                <w:szCs w:val="22"/>
                <w:lang w:eastAsia="el-GR"/>
              </w:rPr>
              <w:t>εργ</w:t>
            </w:r>
            <w:proofErr w:type="spellEnd"/>
            <w:r w:rsidRPr="00586584">
              <w:rPr>
                <w:rFonts w:ascii="Calibri" w:eastAsia="Times New Roman" w:hAnsi="Calibri" w:cs="Calibri"/>
                <w:color w:val="243587"/>
                <w:sz w:val="22"/>
                <w:szCs w:val="22"/>
                <w:lang w:eastAsia="el-GR"/>
              </w:rPr>
              <w:t>αζόμενους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05082F3D" w14:textId="05D7A62D"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(22,2)</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2608D80E" w14:textId="7AA54A87"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(30,5)</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3C5560F6" w14:textId="6C822095"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37%</w:t>
            </w:r>
          </w:p>
        </w:tc>
      </w:tr>
      <w:tr w:rsidR="00625AD6" w:rsidRPr="006D458E" w14:paraId="6E6434D8"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6214767F" w14:textId="77777777" w:rsidR="00625AD6" w:rsidRPr="00586584" w:rsidRDefault="00625AD6" w:rsidP="00625AD6">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Κα</w:t>
            </w:r>
            <w:proofErr w:type="spellStart"/>
            <w:r w:rsidRPr="00586584">
              <w:rPr>
                <w:rFonts w:ascii="Calibri" w:eastAsia="Times New Roman" w:hAnsi="Calibri" w:cs="Calibri"/>
                <w:color w:val="243587"/>
                <w:sz w:val="22"/>
                <w:szCs w:val="22"/>
                <w:lang w:eastAsia="el-GR"/>
              </w:rPr>
              <w:t>ύσιμ</w:t>
            </w:r>
            <w:proofErr w:type="spellEnd"/>
            <w:r w:rsidRPr="00586584">
              <w:rPr>
                <w:rFonts w:ascii="Calibri" w:eastAsia="Times New Roman" w:hAnsi="Calibri" w:cs="Calibri"/>
                <w:color w:val="243587"/>
                <w:sz w:val="22"/>
                <w:szCs w:val="22"/>
                <w:lang w:eastAsia="el-GR"/>
              </w:rPr>
              <w:t xml:space="preserve">α </w:t>
            </w:r>
            <w:proofErr w:type="spellStart"/>
            <w:r w:rsidRPr="00586584">
              <w:rPr>
                <w:rFonts w:ascii="Calibri" w:eastAsia="Times New Roman" w:hAnsi="Calibri" w:cs="Calibri"/>
                <w:color w:val="243587"/>
                <w:sz w:val="22"/>
                <w:szCs w:val="22"/>
                <w:lang w:eastAsia="el-GR"/>
              </w:rPr>
              <w:t>Αεροσκ</w:t>
            </w:r>
            <w:proofErr w:type="spellEnd"/>
            <w:r w:rsidRPr="00586584">
              <w:rPr>
                <w:rFonts w:ascii="Calibri" w:eastAsia="Times New Roman" w:hAnsi="Calibri" w:cs="Calibri"/>
                <w:color w:val="243587"/>
                <w:sz w:val="22"/>
                <w:szCs w:val="22"/>
                <w:lang w:eastAsia="el-GR"/>
              </w:rPr>
              <w:t>αφών</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4612CF43" w14:textId="56BCAEDF"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(32,7)</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5AA6111C" w14:textId="14A2CCDB"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(62,8)</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2FEB3BDC" w14:textId="58FF572F"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92%</w:t>
            </w:r>
          </w:p>
        </w:tc>
      </w:tr>
      <w:tr w:rsidR="00625AD6" w:rsidRPr="006D458E" w14:paraId="430DDF9C"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154C3F14"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Συντήρηση</w:t>
            </w:r>
            <w:proofErr w:type="spellEnd"/>
            <w:r w:rsidRPr="00586584">
              <w:rPr>
                <w:rFonts w:ascii="Calibri" w:eastAsia="Times New Roman" w:hAnsi="Calibri" w:cs="Calibri"/>
                <w:color w:val="243587"/>
                <w:sz w:val="22"/>
                <w:szCs w:val="22"/>
                <w:lang w:eastAsia="el-GR"/>
              </w:rPr>
              <w:t xml:space="preserve"> α</w:t>
            </w:r>
            <w:proofErr w:type="spellStart"/>
            <w:r w:rsidRPr="00586584">
              <w:rPr>
                <w:rFonts w:ascii="Calibri" w:eastAsia="Times New Roman" w:hAnsi="Calibri" w:cs="Calibri"/>
                <w:color w:val="243587"/>
                <w:sz w:val="22"/>
                <w:szCs w:val="22"/>
                <w:lang w:eastAsia="el-GR"/>
              </w:rPr>
              <w:t>εροσκ</w:t>
            </w:r>
            <w:proofErr w:type="spellEnd"/>
            <w:r w:rsidRPr="00586584">
              <w:rPr>
                <w:rFonts w:ascii="Calibri" w:eastAsia="Times New Roman" w:hAnsi="Calibri" w:cs="Calibri"/>
                <w:color w:val="243587"/>
                <w:sz w:val="22"/>
                <w:szCs w:val="22"/>
                <w:lang w:eastAsia="el-GR"/>
              </w:rPr>
              <w:t>αφών</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291C9871" w14:textId="34C98538"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(19,5)</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4910E70A" w14:textId="0D8F2E11"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(23,3)</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287C491F" w14:textId="62D1D227"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19%</w:t>
            </w:r>
          </w:p>
        </w:tc>
      </w:tr>
      <w:tr w:rsidR="00625AD6" w:rsidRPr="006D458E" w14:paraId="657B91A3"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06484A1A"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Τέλη</w:t>
            </w:r>
            <w:proofErr w:type="spellEnd"/>
            <w:r w:rsidRPr="00586584">
              <w:rPr>
                <w:rFonts w:ascii="Calibri" w:eastAsia="Times New Roman" w:hAnsi="Calibri" w:cs="Calibri"/>
                <w:color w:val="243587"/>
                <w:sz w:val="22"/>
                <w:szCs w:val="22"/>
                <w:lang w:eastAsia="el-GR"/>
              </w:rPr>
              <w:t xml:space="preserve"> υπ</w:t>
            </w:r>
            <w:r>
              <w:rPr>
                <w:rFonts w:ascii="Calibri" w:eastAsia="Times New Roman" w:hAnsi="Calibri" w:cs="Calibri"/>
                <w:color w:val="243587"/>
                <w:sz w:val="22"/>
                <w:szCs w:val="22"/>
                <w:lang w:val="el-GR" w:eastAsia="el-GR"/>
              </w:rPr>
              <w:t>έ</w:t>
            </w:r>
            <w:r w:rsidRPr="00586584">
              <w:rPr>
                <w:rFonts w:ascii="Calibri" w:eastAsia="Times New Roman" w:hAnsi="Calibri" w:cs="Calibri"/>
                <w:color w:val="243587"/>
                <w:sz w:val="22"/>
                <w:szCs w:val="22"/>
                <w:lang w:eastAsia="el-GR"/>
              </w:rPr>
              <w:t>ρπτ</w:t>
            </w:r>
            <w:r>
              <w:rPr>
                <w:rFonts w:ascii="Calibri" w:eastAsia="Times New Roman" w:hAnsi="Calibri" w:cs="Calibri"/>
                <w:color w:val="243587"/>
                <w:sz w:val="22"/>
                <w:szCs w:val="22"/>
                <w:lang w:val="el-GR" w:eastAsia="el-GR"/>
              </w:rPr>
              <w:t>η</w:t>
            </w:r>
            <w:proofErr w:type="spellStart"/>
            <w:r w:rsidRPr="00586584">
              <w:rPr>
                <w:rFonts w:ascii="Calibri" w:eastAsia="Times New Roman" w:hAnsi="Calibri" w:cs="Calibri"/>
                <w:color w:val="243587"/>
                <w:sz w:val="22"/>
                <w:szCs w:val="22"/>
                <w:lang w:eastAsia="el-GR"/>
              </w:rPr>
              <w:t>σης</w:t>
            </w:r>
            <w:proofErr w:type="spellEnd"/>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E4F868A" w14:textId="66926D4C"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(9,0)</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6BE90D5C" w14:textId="071F3544"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(12,6)</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66B26939" w14:textId="04BE88CF"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40%</w:t>
            </w:r>
          </w:p>
        </w:tc>
      </w:tr>
      <w:tr w:rsidR="00625AD6" w:rsidRPr="006D458E" w14:paraId="1E095583"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508F0390"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Έξοδ</w:t>
            </w:r>
            <w:proofErr w:type="spellEnd"/>
            <w:r w:rsidRPr="00586584">
              <w:rPr>
                <w:rFonts w:ascii="Calibri" w:eastAsia="Times New Roman" w:hAnsi="Calibri" w:cs="Calibri"/>
                <w:color w:val="243587"/>
                <w:sz w:val="22"/>
                <w:szCs w:val="22"/>
                <w:lang w:eastAsia="el-GR"/>
              </w:rPr>
              <w:t>α επ</w:t>
            </w:r>
            <w:proofErr w:type="spellStart"/>
            <w:r w:rsidRPr="00586584">
              <w:rPr>
                <w:rFonts w:ascii="Calibri" w:eastAsia="Times New Roman" w:hAnsi="Calibri" w:cs="Calibri"/>
                <w:color w:val="243587"/>
                <w:sz w:val="22"/>
                <w:szCs w:val="22"/>
                <w:lang w:eastAsia="el-GR"/>
              </w:rPr>
              <w:t>ίγει</w:t>
            </w:r>
            <w:proofErr w:type="spellEnd"/>
            <w:r w:rsidRPr="00586584">
              <w:rPr>
                <w:rFonts w:ascii="Calibri" w:eastAsia="Times New Roman" w:hAnsi="Calibri" w:cs="Calibri"/>
                <w:color w:val="243587"/>
                <w:sz w:val="22"/>
                <w:szCs w:val="22"/>
                <w:lang w:eastAsia="el-GR"/>
              </w:rPr>
              <w:t xml:space="preserve">ας </w:t>
            </w:r>
            <w:proofErr w:type="spellStart"/>
            <w:r w:rsidRPr="00586584">
              <w:rPr>
                <w:rFonts w:ascii="Calibri" w:eastAsia="Times New Roman" w:hAnsi="Calibri" w:cs="Calibri"/>
                <w:color w:val="243587"/>
                <w:sz w:val="22"/>
                <w:szCs w:val="22"/>
                <w:lang w:eastAsia="el-GR"/>
              </w:rPr>
              <w:t>εξυ</w:t>
            </w:r>
            <w:proofErr w:type="spellEnd"/>
            <w:r w:rsidRPr="00586584">
              <w:rPr>
                <w:rFonts w:ascii="Calibri" w:eastAsia="Times New Roman" w:hAnsi="Calibri" w:cs="Calibri"/>
                <w:color w:val="243587"/>
                <w:sz w:val="22"/>
                <w:szCs w:val="22"/>
                <w:lang w:eastAsia="el-GR"/>
              </w:rPr>
              <w:t>πηρέτησης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98893FD" w14:textId="54537344"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(10,5)</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27A2213C" w14:textId="001A48A0"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(15,9)</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11E1C9D9" w14:textId="1AE6FE07"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52%</w:t>
            </w:r>
          </w:p>
        </w:tc>
      </w:tr>
      <w:tr w:rsidR="00625AD6" w:rsidRPr="006D458E" w14:paraId="08A825ED"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67224799"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Χρεώσεις</w:t>
            </w:r>
            <w:proofErr w:type="spellEnd"/>
            <w:r w:rsidRPr="00586584">
              <w:rPr>
                <w:rFonts w:ascii="Calibri" w:eastAsia="Times New Roman" w:hAnsi="Calibri" w:cs="Calibri"/>
                <w:color w:val="243587"/>
                <w:sz w:val="22"/>
                <w:szCs w:val="22"/>
                <w:lang w:eastAsia="el-GR"/>
              </w:rPr>
              <w:t xml:space="preserve"> α</w:t>
            </w:r>
            <w:proofErr w:type="spellStart"/>
            <w:r w:rsidRPr="00586584">
              <w:rPr>
                <w:rFonts w:ascii="Calibri" w:eastAsia="Times New Roman" w:hAnsi="Calibri" w:cs="Calibri"/>
                <w:color w:val="243587"/>
                <w:sz w:val="22"/>
                <w:szCs w:val="22"/>
                <w:lang w:eastAsia="el-GR"/>
              </w:rPr>
              <w:t>εροδρομίων</w:t>
            </w:r>
            <w:proofErr w:type="spellEnd"/>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29219D96" w14:textId="29128E1B"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(9,7)</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09A757A4" w14:textId="51D8E8A7"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(16,1)</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73D9E160" w14:textId="142F069E"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66%</w:t>
            </w:r>
          </w:p>
        </w:tc>
      </w:tr>
      <w:tr w:rsidR="00625AD6" w:rsidRPr="006D458E" w14:paraId="4FF19197"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35C3A6ED"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Έξοδ</w:t>
            </w:r>
            <w:proofErr w:type="spellEnd"/>
            <w:r w:rsidRPr="00586584">
              <w:rPr>
                <w:rFonts w:ascii="Calibri" w:eastAsia="Times New Roman" w:hAnsi="Calibri" w:cs="Calibri"/>
                <w:color w:val="243587"/>
                <w:sz w:val="22"/>
                <w:szCs w:val="22"/>
                <w:lang w:eastAsia="el-GR"/>
              </w:rPr>
              <w:t>α catering</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2DE7A3EC" w14:textId="6C0CAA5C"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(4,8)</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2A8855B3" w14:textId="6E9FFF1E"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(8,3)</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4B4C7A03" w14:textId="42ACCDD9"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75%</w:t>
            </w:r>
          </w:p>
        </w:tc>
      </w:tr>
      <w:tr w:rsidR="00625AD6" w:rsidRPr="006D458E" w14:paraId="6F259624"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016B3928"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Έξοδ</w:t>
            </w:r>
            <w:proofErr w:type="spellEnd"/>
            <w:r w:rsidRPr="00586584">
              <w:rPr>
                <w:rFonts w:ascii="Calibri" w:eastAsia="Times New Roman" w:hAnsi="Calibri" w:cs="Calibri"/>
                <w:color w:val="243587"/>
                <w:sz w:val="22"/>
                <w:szCs w:val="22"/>
                <w:lang w:eastAsia="el-GR"/>
              </w:rPr>
              <w:t xml:space="preserve">α </w:t>
            </w:r>
            <w:proofErr w:type="spellStart"/>
            <w:r w:rsidRPr="00586584">
              <w:rPr>
                <w:rFonts w:ascii="Calibri" w:eastAsia="Times New Roman" w:hAnsi="Calibri" w:cs="Calibri"/>
                <w:color w:val="243587"/>
                <w:sz w:val="22"/>
                <w:szCs w:val="22"/>
                <w:lang w:eastAsia="el-GR"/>
              </w:rPr>
              <w:t>δι</w:t>
            </w:r>
            <w:proofErr w:type="spellEnd"/>
            <w:r w:rsidRPr="00586584">
              <w:rPr>
                <w:rFonts w:ascii="Calibri" w:eastAsia="Times New Roman" w:hAnsi="Calibri" w:cs="Calibri"/>
                <w:color w:val="243587"/>
                <w:sz w:val="22"/>
                <w:szCs w:val="22"/>
                <w:lang w:eastAsia="el-GR"/>
              </w:rPr>
              <w:t>ανομής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097C6B35" w14:textId="1722CD15"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(10,3)</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05298229" w14:textId="185E6B5D"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(13,8)</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24731CD3" w14:textId="154D880C"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34%</w:t>
            </w:r>
          </w:p>
        </w:tc>
      </w:tr>
      <w:tr w:rsidR="00625AD6" w:rsidRPr="006D458E" w14:paraId="50193160"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0FFDD037"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Έξοδ</w:t>
            </w:r>
            <w:proofErr w:type="spellEnd"/>
            <w:r w:rsidRPr="00586584">
              <w:rPr>
                <w:rFonts w:ascii="Calibri" w:eastAsia="Times New Roman" w:hAnsi="Calibri" w:cs="Calibri"/>
                <w:color w:val="243587"/>
                <w:sz w:val="22"/>
                <w:szCs w:val="22"/>
                <w:lang w:eastAsia="el-GR"/>
              </w:rPr>
              <w:t>α π</w:t>
            </w:r>
            <w:proofErr w:type="spellStart"/>
            <w:r w:rsidRPr="00586584">
              <w:rPr>
                <w:rFonts w:ascii="Calibri" w:eastAsia="Times New Roman" w:hAnsi="Calibri" w:cs="Calibri"/>
                <w:color w:val="243587"/>
                <w:sz w:val="22"/>
                <w:szCs w:val="22"/>
                <w:lang w:eastAsia="el-GR"/>
              </w:rPr>
              <w:t>ρο</w:t>
            </w:r>
            <w:proofErr w:type="spellEnd"/>
            <w:r w:rsidRPr="00586584">
              <w:rPr>
                <w:rFonts w:ascii="Calibri" w:eastAsia="Times New Roman" w:hAnsi="Calibri" w:cs="Calibri"/>
                <w:color w:val="243587"/>
                <w:sz w:val="22"/>
                <w:szCs w:val="22"/>
                <w:lang w:eastAsia="el-GR"/>
              </w:rPr>
              <w:t xml:space="preserve">βολής και </w:t>
            </w:r>
            <w:proofErr w:type="spellStart"/>
            <w:r w:rsidRPr="00586584">
              <w:rPr>
                <w:rFonts w:ascii="Calibri" w:eastAsia="Times New Roman" w:hAnsi="Calibri" w:cs="Calibri"/>
                <w:color w:val="243587"/>
                <w:sz w:val="22"/>
                <w:szCs w:val="22"/>
                <w:lang w:eastAsia="el-GR"/>
              </w:rPr>
              <w:t>δι</w:t>
            </w:r>
            <w:proofErr w:type="spellEnd"/>
            <w:r w:rsidRPr="00586584">
              <w:rPr>
                <w:rFonts w:ascii="Calibri" w:eastAsia="Times New Roman" w:hAnsi="Calibri" w:cs="Calibri"/>
                <w:color w:val="243587"/>
                <w:sz w:val="22"/>
                <w:szCs w:val="22"/>
                <w:lang w:eastAsia="el-GR"/>
              </w:rPr>
              <w:t>αφήμισης</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72983DB" w14:textId="07D1B48D"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(3,0)</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2EB4330A" w14:textId="40599B55"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(5,0)</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5216CF3D" w14:textId="1414036A"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71%</w:t>
            </w:r>
          </w:p>
        </w:tc>
      </w:tr>
      <w:tr w:rsidR="00625AD6" w:rsidRPr="006D458E" w14:paraId="19367452" w14:textId="77777777" w:rsidTr="00F806F0">
        <w:trPr>
          <w:trHeight w:val="169"/>
        </w:trPr>
        <w:tc>
          <w:tcPr>
            <w:tcW w:w="6096"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7187FE06"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Διάφορ</w:t>
            </w:r>
            <w:proofErr w:type="spellEnd"/>
            <w:r w:rsidRPr="00586584">
              <w:rPr>
                <w:rFonts w:ascii="Calibri" w:eastAsia="Times New Roman" w:hAnsi="Calibri" w:cs="Calibri"/>
                <w:color w:val="243587"/>
                <w:sz w:val="22"/>
                <w:szCs w:val="22"/>
                <w:lang w:eastAsia="el-GR"/>
              </w:rPr>
              <w:t xml:space="preserve">α </w:t>
            </w:r>
            <w:proofErr w:type="spellStart"/>
            <w:r w:rsidRPr="00586584">
              <w:rPr>
                <w:rFonts w:ascii="Calibri" w:eastAsia="Times New Roman" w:hAnsi="Calibri" w:cs="Calibri"/>
                <w:color w:val="243587"/>
                <w:sz w:val="22"/>
                <w:szCs w:val="22"/>
                <w:lang w:eastAsia="el-GR"/>
              </w:rPr>
              <w:t>έξοδ</w:t>
            </w:r>
            <w:proofErr w:type="spellEnd"/>
            <w:r w:rsidRPr="00586584">
              <w:rPr>
                <w:rFonts w:ascii="Calibri" w:eastAsia="Times New Roman" w:hAnsi="Calibri" w:cs="Calibri"/>
                <w:color w:val="243587"/>
                <w:sz w:val="22"/>
                <w:szCs w:val="22"/>
                <w:lang w:eastAsia="el-GR"/>
              </w:rPr>
              <w:t>α</w:t>
            </w:r>
          </w:p>
        </w:tc>
        <w:tc>
          <w:tcPr>
            <w:tcW w:w="1701" w:type="dxa"/>
            <w:tcBorders>
              <w:top w:val="dotted"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09291755" w14:textId="79555494"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(19,8)</w:t>
            </w:r>
          </w:p>
        </w:tc>
        <w:tc>
          <w:tcPr>
            <w:tcW w:w="1417" w:type="dxa"/>
            <w:tcBorders>
              <w:top w:val="dotted" w:sz="4" w:space="0" w:color="1F3864" w:themeColor="accent1" w:themeShade="80"/>
              <w:left w:val="nil"/>
              <w:bottom w:val="dotted" w:sz="4" w:space="0" w:color="1F3864" w:themeColor="accent1" w:themeShade="80"/>
              <w:right w:val="nil"/>
            </w:tcBorders>
            <w:shd w:val="clear" w:color="auto" w:fill="EFF2F9"/>
            <w:vAlign w:val="center"/>
          </w:tcPr>
          <w:p w14:paraId="0870C1C4" w14:textId="1D685754"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(27,1)</w:t>
            </w:r>
          </w:p>
        </w:tc>
        <w:tc>
          <w:tcPr>
            <w:tcW w:w="1252" w:type="dxa"/>
            <w:tcBorders>
              <w:top w:val="dotted" w:sz="4" w:space="0" w:color="1F3864" w:themeColor="accent1" w:themeShade="80"/>
              <w:left w:val="nil"/>
              <w:bottom w:val="dotted" w:sz="4" w:space="0" w:color="1F3864" w:themeColor="accent1" w:themeShade="80"/>
              <w:right w:val="nil"/>
            </w:tcBorders>
            <w:vAlign w:val="center"/>
          </w:tcPr>
          <w:p w14:paraId="68C64448" w14:textId="3D87C8A0"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37%</w:t>
            </w:r>
          </w:p>
        </w:tc>
      </w:tr>
      <w:tr w:rsidR="00625AD6" w:rsidRPr="006D458E" w14:paraId="129B7AB7" w14:textId="77777777" w:rsidTr="00F806F0">
        <w:trPr>
          <w:trHeight w:val="169"/>
        </w:trPr>
        <w:tc>
          <w:tcPr>
            <w:tcW w:w="6096"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919326C"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Μισθώσεις</w:t>
            </w:r>
            <w:proofErr w:type="spellEnd"/>
          </w:p>
        </w:tc>
        <w:tc>
          <w:tcPr>
            <w:tcW w:w="1701"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36B041C3" w14:textId="34B86972"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(2,2)</w:t>
            </w:r>
          </w:p>
        </w:tc>
        <w:tc>
          <w:tcPr>
            <w:tcW w:w="1417"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22D7983A" w14:textId="48C56784" w:rsidR="00625AD6" w:rsidRPr="0079161C"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(2,1)</w:t>
            </w:r>
          </w:p>
        </w:tc>
        <w:tc>
          <w:tcPr>
            <w:tcW w:w="1252" w:type="dxa"/>
            <w:tcBorders>
              <w:top w:val="dotted" w:sz="4" w:space="0" w:color="1F3864" w:themeColor="accent1" w:themeShade="80"/>
              <w:left w:val="nil"/>
              <w:bottom w:val="single" w:sz="4" w:space="0" w:color="1F3864" w:themeColor="accent1" w:themeShade="80"/>
              <w:right w:val="nil"/>
            </w:tcBorders>
            <w:vAlign w:val="center"/>
          </w:tcPr>
          <w:p w14:paraId="43F7C05D" w14:textId="30177D28" w:rsidR="00625AD6" w:rsidRPr="005920BE" w:rsidRDefault="00B41C28" w:rsidP="00625AD6">
            <w:pPr>
              <w:jc w:val="center"/>
              <w:rPr>
                <w:rFonts w:ascii="Calibri" w:eastAsia="Times New Roman" w:hAnsi="Calibri" w:cs="Calibri"/>
                <w:color w:val="243587"/>
                <w:sz w:val="22"/>
                <w:szCs w:val="22"/>
                <w:lang w:eastAsia="el-GR"/>
              </w:rPr>
            </w:pPr>
            <w:r w:rsidRPr="005920BE">
              <w:rPr>
                <w:rFonts w:ascii="Calibri" w:eastAsia="Times New Roman" w:hAnsi="Calibri" w:cs="Calibri"/>
                <w:color w:val="243587"/>
                <w:sz w:val="22"/>
                <w:szCs w:val="22"/>
                <w:lang w:eastAsia="el-GR"/>
              </w:rPr>
              <w:t>-</w:t>
            </w:r>
          </w:p>
        </w:tc>
      </w:tr>
      <w:tr w:rsidR="00625AD6" w:rsidRPr="006D458E" w14:paraId="366CBA8A" w14:textId="77777777" w:rsidTr="00F806F0">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C326B41" w14:textId="7FD216DB" w:rsidR="00625AD6" w:rsidRPr="001E2CD7" w:rsidRDefault="00D91222" w:rsidP="00074432">
            <w:pPr>
              <w:rPr>
                <w:rFonts w:ascii="Calibri" w:eastAsia="Times New Roman" w:hAnsi="Calibri" w:cs="Calibri"/>
                <w:b/>
                <w:bCs/>
                <w:color w:val="243587"/>
                <w:sz w:val="22"/>
                <w:szCs w:val="22"/>
                <w:lang w:val="el-GR" w:eastAsia="el-GR"/>
              </w:rPr>
            </w:pPr>
            <w:r>
              <w:rPr>
                <w:rFonts w:ascii="Calibri" w:eastAsia="Times New Roman" w:hAnsi="Calibri" w:cs="Calibri"/>
                <w:b/>
                <w:bCs/>
                <w:color w:val="243587"/>
                <w:sz w:val="22"/>
                <w:szCs w:val="22"/>
                <w:lang w:val="el-GR" w:eastAsia="el-GR"/>
              </w:rPr>
              <w:t>Κ</w:t>
            </w:r>
            <w:r w:rsidR="00625AD6" w:rsidRPr="000D51CF">
              <w:rPr>
                <w:rFonts w:ascii="Calibri" w:eastAsia="Times New Roman" w:hAnsi="Calibri" w:cs="Calibri"/>
                <w:b/>
                <w:bCs/>
                <w:color w:val="243587"/>
                <w:sz w:val="22"/>
                <w:szCs w:val="22"/>
                <w:lang w:val="el-GR" w:eastAsia="el-GR"/>
              </w:rPr>
              <w:t xml:space="preserve">έρδη </w:t>
            </w:r>
            <w:r w:rsidRPr="00D91222">
              <w:rPr>
                <w:rFonts w:ascii="Calibri" w:eastAsia="Times New Roman" w:hAnsi="Calibri" w:cs="Calibri"/>
                <w:b/>
                <w:bCs/>
                <w:color w:val="243587"/>
                <w:sz w:val="22"/>
                <w:szCs w:val="22"/>
                <w:lang w:val="el-GR" w:eastAsia="el-GR"/>
              </w:rPr>
              <w:t>/</w:t>
            </w:r>
            <w:r>
              <w:rPr>
                <w:rFonts w:ascii="Calibri" w:eastAsia="Times New Roman" w:hAnsi="Calibri" w:cs="Calibri"/>
                <w:b/>
                <w:bCs/>
                <w:color w:val="243587"/>
                <w:sz w:val="22"/>
                <w:szCs w:val="22"/>
                <w:lang w:val="el-GR" w:eastAsia="el-GR"/>
              </w:rPr>
              <w:t xml:space="preserve"> (Ζημίες)</w:t>
            </w:r>
            <w:r w:rsidRPr="00D91222">
              <w:rPr>
                <w:rFonts w:ascii="Calibri" w:eastAsia="Times New Roman" w:hAnsi="Calibri" w:cs="Calibri"/>
                <w:b/>
                <w:bCs/>
                <w:color w:val="243587"/>
                <w:sz w:val="22"/>
                <w:szCs w:val="22"/>
                <w:lang w:val="el-GR" w:eastAsia="el-GR"/>
              </w:rPr>
              <w:t xml:space="preserve"> </w:t>
            </w:r>
            <w:r w:rsidR="00625AD6" w:rsidRPr="000D51CF">
              <w:rPr>
                <w:rFonts w:ascii="Calibri" w:eastAsia="Times New Roman" w:hAnsi="Calibri" w:cs="Calibri"/>
                <w:b/>
                <w:bCs/>
                <w:color w:val="243587"/>
                <w:sz w:val="22"/>
                <w:szCs w:val="22"/>
                <w:lang w:val="el-GR" w:eastAsia="el-GR"/>
              </w:rPr>
              <w:t>προ φόρων, χρηματοδοτικών, επενδυτικών</w:t>
            </w:r>
            <w:r w:rsidR="00074432">
              <w:rPr>
                <w:rFonts w:ascii="Calibri" w:eastAsia="Times New Roman" w:hAnsi="Calibri" w:cs="Calibri"/>
                <w:b/>
                <w:bCs/>
                <w:color w:val="243587"/>
                <w:sz w:val="22"/>
                <w:szCs w:val="22"/>
                <w:lang w:val="el-GR" w:eastAsia="el-GR"/>
              </w:rPr>
              <w:t xml:space="preserve"> </w:t>
            </w:r>
            <w:r w:rsidR="00625AD6" w:rsidRPr="000D51CF">
              <w:rPr>
                <w:rFonts w:ascii="Calibri" w:eastAsia="Times New Roman" w:hAnsi="Calibri" w:cs="Calibri"/>
                <w:b/>
                <w:bCs/>
                <w:color w:val="243587"/>
                <w:sz w:val="22"/>
                <w:szCs w:val="22"/>
                <w:lang w:val="el-GR" w:eastAsia="el-GR"/>
              </w:rPr>
              <w:t xml:space="preserve">αποτελεσμάτων αποσβέσεων και </w:t>
            </w:r>
            <w:proofErr w:type="spellStart"/>
            <w:r w:rsidR="00625AD6" w:rsidRPr="000D51CF">
              <w:rPr>
                <w:rFonts w:ascii="Calibri" w:eastAsia="Times New Roman" w:hAnsi="Calibri" w:cs="Calibri"/>
                <w:b/>
                <w:bCs/>
                <w:color w:val="243587"/>
                <w:sz w:val="22"/>
                <w:szCs w:val="22"/>
                <w:lang w:val="el-GR" w:eastAsia="el-GR"/>
              </w:rPr>
              <w:t>απομειώσεων</w:t>
            </w:r>
            <w:proofErr w:type="spellEnd"/>
            <w:r w:rsidR="00625AD6" w:rsidRPr="000D51CF">
              <w:rPr>
                <w:rFonts w:ascii="Calibri" w:eastAsia="Times New Roman" w:hAnsi="Calibri" w:cs="Calibri"/>
                <w:b/>
                <w:bCs/>
                <w:color w:val="243587"/>
                <w:sz w:val="22"/>
                <w:szCs w:val="22"/>
                <w:lang w:val="el-GR" w:eastAsia="el-GR"/>
              </w:rPr>
              <w:t xml:space="preserve"> </w:t>
            </w:r>
            <w:r w:rsidR="00625AD6" w:rsidRPr="001E2CD7">
              <w:rPr>
                <w:rFonts w:ascii="Calibri" w:eastAsia="Times New Roman" w:hAnsi="Calibri" w:cs="Calibri"/>
                <w:b/>
                <w:bCs/>
                <w:color w:val="243587"/>
                <w:sz w:val="22"/>
                <w:szCs w:val="22"/>
                <w:lang w:val="el-GR" w:eastAsia="el-GR"/>
              </w:rPr>
              <w:t>(</w:t>
            </w:r>
            <w:r w:rsidR="00625AD6" w:rsidRPr="000D51CF">
              <w:rPr>
                <w:rFonts w:ascii="Calibri" w:eastAsia="Times New Roman" w:hAnsi="Calibri" w:cs="Calibri"/>
                <w:b/>
                <w:bCs/>
                <w:color w:val="243587"/>
                <w:sz w:val="22"/>
                <w:szCs w:val="22"/>
                <w:lang w:eastAsia="el-GR"/>
              </w:rPr>
              <w:t>EBITDA</w:t>
            </w:r>
            <w:r w:rsidR="00625AD6" w:rsidRPr="001E2CD7">
              <w:rPr>
                <w:rFonts w:ascii="Calibri" w:eastAsia="Times New Roman" w:hAnsi="Calibri" w:cs="Calibri"/>
                <w:b/>
                <w:bCs/>
                <w:color w:val="243587"/>
                <w:sz w:val="22"/>
                <w:szCs w:val="22"/>
                <w:lang w:val="el-GR" w:eastAsia="el-GR"/>
              </w:rPr>
              <w:t>)</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15499387" w14:textId="57A039AA"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(16,1)</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42AD5FA2" w14:textId="49DE5DBD"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19,3</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103AAF88" w14:textId="25C57FAE"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w:t>
            </w:r>
          </w:p>
        </w:tc>
      </w:tr>
      <w:tr w:rsidR="00625AD6" w:rsidRPr="006D458E" w14:paraId="74506CEF" w14:textId="77777777" w:rsidTr="00F806F0">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43D1A93" w14:textId="77777777" w:rsidR="00625AD6" w:rsidRPr="00586584" w:rsidRDefault="00625AD6" w:rsidP="00625AD6">
            <w:pPr>
              <w:rPr>
                <w:rFonts w:ascii="Calibri" w:eastAsia="Times New Roman" w:hAnsi="Calibri" w:cs="Calibri"/>
                <w:color w:val="243587"/>
                <w:sz w:val="22"/>
                <w:szCs w:val="22"/>
                <w:lang w:eastAsia="el-GR"/>
              </w:rPr>
            </w:pPr>
            <w:r w:rsidRPr="00586584">
              <w:rPr>
                <w:rFonts w:ascii="Calibri" w:eastAsia="Times New Roman" w:hAnsi="Calibri" w:cs="Calibri"/>
                <w:color w:val="243587"/>
                <w:sz w:val="22"/>
                <w:szCs w:val="22"/>
                <w:lang w:eastAsia="el-GR"/>
              </w:rPr>
              <w:t>Απ</w:t>
            </w:r>
            <w:proofErr w:type="spellStart"/>
            <w:r w:rsidRPr="00586584">
              <w:rPr>
                <w:rFonts w:ascii="Calibri" w:eastAsia="Times New Roman" w:hAnsi="Calibri" w:cs="Calibri"/>
                <w:color w:val="243587"/>
                <w:sz w:val="22"/>
                <w:szCs w:val="22"/>
                <w:lang w:eastAsia="el-GR"/>
              </w:rPr>
              <w:t>οσ</w:t>
            </w:r>
            <w:proofErr w:type="spellEnd"/>
            <w:r w:rsidRPr="00586584">
              <w:rPr>
                <w:rFonts w:ascii="Calibri" w:eastAsia="Times New Roman" w:hAnsi="Calibri" w:cs="Calibri"/>
                <w:color w:val="243587"/>
                <w:sz w:val="22"/>
                <w:szCs w:val="22"/>
                <w:lang w:eastAsia="el-GR"/>
              </w:rPr>
              <w:t>βέσεις</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37313618" w14:textId="726C0B7C"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(30,7)</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75F51580" w14:textId="74313D8C"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(34,0)</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5646C716" w14:textId="18E570F0"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11%</w:t>
            </w:r>
          </w:p>
        </w:tc>
      </w:tr>
      <w:tr w:rsidR="00625AD6" w:rsidRPr="004B5251" w14:paraId="364F9F35" w14:textId="77777777" w:rsidTr="00F806F0">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4C6FF3C6" w14:textId="77777777" w:rsidR="00625AD6" w:rsidRPr="000D51CF" w:rsidRDefault="00625AD6" w:rsidP="00625AD6">
            <w:pPr>
              <w:rPr>
                <w:rFonts w:ascii="Calibri" w:eastAsia="Times New Roman" w:hAnsi="Calibri" w:cs="Calibri"/>
                <w:b/>
                <w:bCs/>
                <w:color w:val="243587"/>
                <w:sz w:val="22"/>
                <w:szCs w:val="22"/>
                <w:lang w:val="el-GR" w:eastAsia="el-GR"/>
              </w:rPr>
            </w:pPr>
            <w:r w:rsidRPr="000D51CF">
              <w:rPr>
                <w:rFonts w:ascii="Calibri" w:eastAsia="Times New Roman" w:hAnsi="Calibri" w:cs="Calibri"/>
                <w:b/>
                <w:bCs/>
                <w:color w:val="243587"/>
                <w:sz w:val="22"/>
                <w:szCs w:val="22"/>
                <w:lang w:val="el-GR" w:eastAsia="el-GR"/>
              </w:rPr>
              <w:t>Κέρδη/ (Ζημίες) χρήσης προ φόρων και τόκων (ΚΠΤΦ)</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7DE7E2F2" w14:textId="393D6B62"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(46,7)</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43FA4CF5" w14:textId="25510F65"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(14,7)</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74673455" w14:textId="3DCA2E83" w:rsidR="00625AD6" w:rsidRPr="005920BE" w:rsidRDefault="00B41C28" w:rsidP="00625AD6">
            <w:pPr>
              <w:jc w:val="center"/>
              <w:rPr>
                <w:rFonts w:ascii="Calibri" w:eastAsia="Times New Roman" w:hAnsi="Calibri" w:cs="Calibri"/>
                <w:color w:val="243587"/>
                <w:sz w:val="22"/>
                <w:szCs w:val="22"/>
                <w:lang w:eastAsia="el-GR"/>
              </w:rPr>
            </w:pPr>
            <w:r w:rsidRPr="005920BE">
              <w:rPr>
                <w:rFonts w:ascii="Calibri" w:eastAsia="Times New Roman" w:hAnsi="Calibri" w:cs="Calibri"/>
                <w:color w:val="243587"/>
                <w:sz w:val="22"/>
                <w:szCs w:val="22"/>
                <w:lang w:eastAsia="el-GR"/>
              </w:rPr>
              <w:t>-</w:t>
            </w:r>
          </w:p>
        </w:tc>
      </w:tr>
      <w:tr w:rsidR="00625AD6" w:rsidRPr="006D458E" w14:paraId="6BEAA785" w14:textId="77777777" w:rsidTr="00F806F0">
        <w:trPr>
          <w:trHeight w:val="169"/>
        </w:trPr>
        <w:tc>
          <w:tcPr>
            <w:tcW w:w="6096"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97" w:type="dxa"/>
              <w:bottom w:w="0" w:type="dxa"/>
              <w:right w:w="97" w:type="dxa"/>
            </w:tcMar>
            <w:vAlign w:val="center"/>
          </w:tcPr>
          <w:p w14:paraId="279B97B0" w14:textId="77777777" w:rsidR="00625AD6" w:rsidRPr="000D51CF" w:rsidRDefault="00625AD6" w:rsidP="00625AD6">
            <w:pPr>
              <w:rPr>
                <w:rFonts w:ascii="Calibri" w:eastAsia="Times New Roman" w:hAnsi="Calibri" w:cs="Calibri"/>
                <w:color w:val="243587"/>
                <w:sz w:val="22"/>
                <w:szCs w:val="22"/>
                <w:lang w:val="en-US" w:eastAsia="el-GR"/>
              </w:rPr>
            </w:pPr>
            <w:proofErr w:type="spellStart"/>
            <w:r w:rsidRPr="00586584">
              <w:rPr>
                <w:rFonts w:ascii="Calibri" w:eastAsia="Times New Roman" w:hAnsi="Calibri" w:cs="Calibri"/>
                <w:color w:val="243587"/>
                <w:sz w:val="22"/>
                <w:szCs w:val="22"/>
                <w:lang w:eastAsia="el-GR"/>
              </w:rPr>
              <w:t>Περιθώριο</w:t>
            </w:r>
            <w:proofErr w:type="spellEnd"/>
            <w:r w:rsidRPr="00586584">
              <w:rPr>
                <w:rFonts w:ascii="Calibri" w:eastAsia="Times New Roman" w:hAnsi="Calibri" w:cs="Calibri"/>
                <w:color w:val="243587"/>
                <w:sz w:val="22"/>
                <w:szCs w:val="22"/>
                <w:lang w:eastAsia="el-GR"/>
              </w:rPr>
              <w:t xml:space="preserve"> ΚΠΤΦ</w:t>
            </w:r>
            <w:r>
              <w:rPr>
                <w:rFonts w:ascii="Calibri" w:eastAsia="Times New Roman" w:hAnsi="Calibri" w:cs="Calibri"/>
                <w:color w:val="243587"/>
                <w:sz w:val="22"/>
                <w:szCs w:val="22"/>
                <w:lang w:eastAsia="el-GR"/>
              </w:rPr>
              <w:t xml:space="preserve"> (</w:t>
            </w:r>
            <w:r>
              <w:rPr>
                <w:rFonts w:ascii="Calibri" w:eastAsia="Times New Roman" w:hAnsi="Calibri" w:cs="Calibri"/>
                <w:color w:val="243587"/>
                <w:sz w:val="22"/>
                <w:szCs w:val="22"/>
                <w:lang w:val="el-GR" w:eastAsia="el-GR"/>
              </w:rPr>
              <w:t>ΕΒΙΤ Μ</w:t>
            </w:r>
            <w:proofErr w:type="spellStart"/>
            <w:r>
              <w:rPr>
                <w:rFonts w:ascii="Calibri" w:eastAsia="Times New Roman" w:hAnsi="Calibri" w:cs="Calibri"/>
                <w:color w:val="243587"/>
                <w:sz w:val="22"/>
                <w:szCs w:val="22"/>
                <w:lang w:val="en-US" w:eastAsia="el-GR"/>
              </w:rPr>
              <w:t>argin</w:t>
            </w:r>
            <w:proofErr w:type="spellEnd"/>
            <w:r>
              <w:rPr>
                <w:rFonts w:ascii="Calibri" w:eastAsia="Times New Roman" w:hAnsi="Calibri" w:cs="Calibri"/>
                <w:color w:val="243587"/>
                <w:sz w:val="22"/>
                <w:szCs w:val="22"/>
                <w:lang w:val="en-US" w:eastAsia="el-GR"/>
              </w:rPr>
              <w:t>)</w:t>
            </w:r>
          </w:p>
        </w:tc>
        <w:tc>
          <w:tcPr>
            <w:tcW w:w="1701" w:type="dxa"/>
            <w:tcBorders>
              <w:top w:val="single" w:sz="4" w:space="0" w:color="1F3864" w:themeColor="accent1" w:themeShade="80"/>
              <w:left w:val="nil"/>
              <w:bottom w:val="dotted" w:sz="4" w:space="0" w:color="1F3864" w:themeColor="accent1" w:themeShade="80"/>
              <w:right w:val="nil"/>
            </w:tcBorders>
            <w:shd w:val="clear" w:color="auto" w:fill="auto"/>
            <w:tcMar>
              <w:top w:w="13" w:type="dxa"/>
              <w:left w:w="13" w:type="dxa"/>
              <w:bottom w:w="0" w:type="dxa"/>
              <w:right w:w="13" w:type="dxa"/>
            </w:tcMar>
            <w:vAlign w:val="center"/>
          </w:tcPr>
          <w:p w14:paraId="1716EFD7" w14:textId="50167C97"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-38,7%</w:t>
            </w:r>
          </w:p>
        </w:tc>
        <w:tc>
          <w:tcPr>
            <w:tcW w:w="1417" w:type="dxa"/>
            <w:tcBorders>
              <w:top w:val="single" w:sz="4" w:space="0" w:color="1F3864" w:themeColor="accent1" w:themeShade="80"/>
              <w:left w:val="nil"/>
              <w:bottom w:val="dotted" w:sz="4" w:space="0" w:color="1F3864" w:themeColor="accent1" w:themeShade="80"/>
              <w:right w:val="nil"/>
            </w:tcBorders>
            <w:shd w:val="clear" w:color="auto" w:fill="EFF2F9"/>
            <w:vAlign w:val="center"/>
          </w:tcPr>
          <w:p w14:paraId="65FBC7B8" w14:textId="3DB5A5AB"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-6,4%</w:t>
            </w:r>
          </w:p>
        </w:tc>
        <w:tc>
          <w:tcPr>
            <w:tcW w:w="1252" w:type="dxa"/>
            <w:tcBorders>
              <w:top w:val="single" w:sz="4" w:space="0" w:color="1F3864" w:themeColor="accent1" w:themeShade="80"/>
              <w:left w:val="nil"/>
              <w:bottom w:val="dotted" w:sz="4" w:space="0" w:color="1F3864" w:themeColor="accent1" w:themeShade="80"/>
              <w:right w:val="nil"/>
            </w:tcBorders>
            <w:vAlign w:val="center"/>
          </w:tcPr>
          <w:p w14:paraId="0729DC07" w14:textId="4E892AA3" w:rsidR="00625AD6" w:rsidRPr="00A879AF" w:rsidRDefault="000F1DDA" w:rsidP="00625AD6">
            <w:pPr>
              <w:jc w:val="center"/>
              <w:rPr>
                <w:rFonts w:ascii="Calibri" w:eastAsia="Times New Roman" w:hAnsi="Calibri" w:cs="Calibri"/>
                <w:color w:val="243587"/>
                <w:sz w:val="22"/>
                <w:szCs w:val="22"/>
                <w:lang w:eastAsia="el-GR"/>
              </w:rPr>
            </w:pPr>
            <w:r>
              <w:rPr>
                <w:rFonts w:ascii="Calibri" w:eastAsia="Times New Roman" w:hAnsi="Calibri" w:cs="Calibri"/>
                <w:color w:val="243587"/>
                <w:sz w:val="22"/>
                <w:szCs w:val="22"/>
                <w:lang w:eastAsia="el-GR"/>
              </w:rPr>
              <w:t>-</w:t>
            </w:r>
          </w:p>
        </w:tc>
      </w:tr>
      <w:tr w:rsidR="00625AD6" w:rsidRPr="006D458E" w14:paraId="5AF7D3A7" w14:textId="77777777" w:rsidTr="00F806F0">
        <w:trPr>
          <w:trHeight w:val="169"/>
        </w:trPr>
        <w:tc>
          <w:tcPr>
            <w:tcW w:w="6096"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4299540"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Χρημ</w:t>
            </w:r>
            <w:proofErr w:type="spellEnd"/>
            <w:r w:rsidRPr="00586584">
              <w:rPr>
                <w:rFonts w:ascii="Calibri" w:eastAsia="Times New Roman" w:hAnsi="Calibri" w:cs="Calibri"/>
                <w:color w:val="243587"/>
                <w:sz w:val="22"/>
                <w:szCs w:val="22"/>
                <w:lang w:eastAsia="el-GR"/>
              </w:rPr>
              <w:t xml:space="preserve">ατοοικονομικά </w:t>
            </w:r>
            <w:proofErr w:type="spellStart"/>
            <w:r w:rsidRPr="00586584">
              <w:rPr>
                <w:rFonts w:ascii="Calibri" w:eastAsia="Times New Roman" w:hAnsi="Calibri" w:cs="Calibri"/>
                <w:color w:val="243587"/>
                <w:sz w:val="22"/>
                <w:szCs w:val="22"/>
                <w:lang w:eastAsia="el-GR"/>
              </w:rPr>
              <w:t>έσοδ</w:t>
            </w:r>
            <w:proofErr w:type="spellEnd"/>
            <w:r w:rsidRPr="00586584">
              <w:rPr>
                <w:rFonts w:ascii="Calibri" w:eastAsia="Times New Roman" w:hAnsi="Calibri" w:cs="Calibri"/>
                <w:color w:val="243587"/>
                <w:sz w:val="22"/>
                <w:szCs w:val="22"/>
                <w:lang w:eastAsia="el-GR"/>
              </w:rPr>
              <w:t xml:space="preserve">α/ </w:t>
            </w:r>
            <w:proofErr w:type="spellStart"/>
            <w:r w:rsidRPr="00586584">
              <w:rPr>
                <w:rFonts w:ascii="Calibri" w:eastAsia="Times New Roman" w:hAnsi="Calibri" w:cs="Calibri"/>
                <w:color w:val="243587"/>
                <w:sz w:val="22"/>
                <w:szCs w:val="22"/>
                <w:lang w:eastAsia="el-GR"/>
              </w:rPr>
              <w:t>έξοδ</w:t>
            </w:r>
            <w:proofErr w:type="spellEnd"/>
            <w:r w:rsidRPr="00586584">
              <w:rPr>
                <w:rFonts w:ascii="Calibri" w:eastAsia="Times New Roman" w:hAnsi="Calibri" w:cs="Calibri"/>
                <w:color w:val="243587"/>
                <w:sz w:val="22"/>
                <w:szCs w:val="22"/>
                <w:lang w:eastAsia="el-GR"/>
              </w:rPr>
              <w:t>α</w:t>
            </w:r>
          </w:p>
        </w:tc>
        <w:tc>
          <w:tcPr>
            <w:tcW w:w="1701"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6A4F7C82" w14:textId="56D099B4"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(1,6)</w:t>
            </w:r>
          </w:p>
        </w:tc>
        <w:tc>
          <w:tcPr>
            <w:tcW w:w="1417"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06687347" w14:textId="34B064B1"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(3,9)</w:t>
            </w:r>
          </w:p>
        </w:tc>
        <w:tc>
          <w:tcPr>
            <w:tcW w:w="1252" w:type="dxa"/>
            <w:tcBorders>
              <w:top w:val="dotted" w:sz="4" w:space="0" w:color="1F3864" w:themeColor="accent1" w:themeShade="80"/>
              <w:left w:val="nil"/>
              <w:bottom w:val="single" w:sz="4" w:space="0" w:color="1F3864" w:themeColor="accent1" w:themeShade="80"/>
              <w:right w:val="nil"/>
            </w:tcBorders>
            <w:vAlign w:val="center"/>
          </w:tcPr>
          <w:p w14:paraId="701B1B6B" w14:textId="03157039"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142%</w:t>
            </w:r>
          </w:p>
        </w:tc>
      </w:tr>
      <w:tr w:rsidR="00625AD6" w:rsidRPr="004B5251" w14:paraId="74625B0B" w14:textId="77777777" w:rsidTr="00F806F0">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707F8A34" w14:textId="77777777" w:rsidR="00625AD6" w:rsidRPr="00B81A71" w:rsidRDefault="00625AD6" w:rsidP="00625AD6">
            <w:pPr>
              <w:rPr>
                <w:rFonts w:ascii="Calibri" w:eastAsia="Times New Roman" w:hAnsi="Calibri" w:cs="Calibri"/>
                <w:b/>
                <w:bCs/>
                <w:color w:val="243587"/>
                <w:sz w:val="22"/>
                <w:szCs w:val="22"/>
                <w:lang w:val="el-GR" w:eastAsia="el-GR"/>
              </w:rPr>
            </w:pPr>
            <w:r w:rsidRPr="00B81A71">
              <w:rPr>
                <w:rFonts w:ascii="Calibri" w:eastAsia="Times New Roman" w:hAnsi="Calibri" w:cs="Calibri"/>
                <w:b/>
                <w:bCs/>
                <w:color w:val="243587"/>
                <w:sz w:val="22"/>
                <w:szCs w:val="22"/>
                <w:lang w:val="el-GR" w:eastAsia="el-GR"/>
              </w:rPr>
              <w:t>Κέρδη/(Ζημίες) χρήσης προ φόρων (ΚΠΦ)</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67E5D33E" w14:textId="677BDEA5"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(48,3)</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76E5D028" w14:textId="637F4029"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(18,6)</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696F782E" w14:textId="4FEA4C6D" w:rsidR="00625AD6" w:rsidRPr="005920BE" w:rsidRDefault="00031A4F" w:rsidP="00625AD6">
            <w:pPr>
              <w:jc w:val="center"/>
              <w:rPr>
                <w:rFonts w:ascii="Calibri" w:eastAsia="Times New Roman" w:hAnsi="Calibri" w:cs="Calibri"/>
                <w:color w:val="243587"/>
                <w:sz w:val="22"/>
                <w:szCs w:val="22"/>
                <w:lang w:eastAsia="el-GR"/>
              </w:rPr>
            </w:pPr>
            <w:r w:rsidRPr="005920BE">
              <w:rPr>
                <w:rFonts w:ascii="Calibri" w:eastAsia="Times New Roman" w:hAnsi="Calibri" w:cs="Calibri"/>
                <w:color w:val="243587"/>
                <w:sz w:val="22"/>
                <w:szCs w:val="22"/>
                <w:lang w:eastAsia="el-GR"/>
              </w:rPr>
              <w:t>-</w:t>
            </w:r>
          </w:p>
        </w:tc>
      </w:tr>
      <w:tr w:rsidR="00625AD6" w:rsidRPr="006D458E" w14:paraId="61A53A17" w14:textId="77777777" w:rsidTr="00F806F0">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7C4BA922" w14:textId="77777777" w:rsidR="00625AD6" w:rsidRPr="000D51CF" w:rsidRDefault="00625AD6" w:rsidP="00625AD6">
            <w:pPr>
              <w:rPr>
                <w:rFonts w:ascii="Calibri" w:eastAsia="Times New Roman" w:hAnsi="Calibri" w:cs="Calibri"/>
                <w:color w:val="243587"/>
                <w:sz w:val="22"/>
                <w:szCs w:val="22"/>
                <w:lang w:val="en-US" w:eastAsia="el-GR"/>
              </w:rPr>
            </w:pPr>
            <w:proofErr w:type="spellStart"/>
            <w:r w:rsidRPr="00586584">
              <w:rPr>
                <w:rFonts w:ascii="Calibri" w:eastAsia="Times New Roman" w:hAnsi="Calibri" w:cs="Calibri"/>
                <w:color w:val="243587"/>
                <w:sz w:val="22"/>
                <w:szCs w:val="22"/>
                <w:lang w:eastAsia="el-GR"/>
              </w:rPr>
              <w:t>Περιθώριο</w:t>
            </w:r>
            <w:proofErr w:type="spellEnd"/>
            <w:r w:rsidRPr="00586584">
              <w:rPr>
                <w:rFonts w:ascii="Calibri" w:eastAsia="Times New Roman" w:hAnsi="Calibri" w:cs="Calibri"/>
                <w:color w:val="243587"/>
                <w:sz w:val="22"/>
                <w:szCs w:val="22"/>
                <w:lang w:eastAsia="el-GR"/>
              </w:rPr>
              <w:t xml:space="preserve"> ΚΠ</w:t>
            </w:r>
            <w:r>
              <w:rPr>
                <w:rFonts w:ascii="Calibri" w:eastAsia="Times New Roman" w:hAnsi="Calibri" w:cs="Calibri"/>
                <w:color w:val="243587"/>
                <w:sz w:val="22"/>
                <w:szCs w:val="22"/>
                <w:lang w:val="el-GR" w:eastAsia="el-GR"/>
              </w:rPr>
              <w:t>Φ (</w:t>
            </w:r>
            <w:r>
              <w:rPr>
                <w:rFonts w:ascii="Calibri" w:eastAsia="Times New Roman" w:hAnsi="Calibri" w:cs="Calibri"/>
                <w:color w:val="243587"/>
                <w:sz w:val="22"/>
                <w:szCs w:val="22"/>
                <w:lang w:val="en-US" w:eastAsia="el-GR"/>
              </w:rPr>
              <w:t>EBT Margin)</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7DA46C2B" w14:textId="0F5A4F9E"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-40,0%</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27D6A057" w14:textId="089B4D28"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-8,1%</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6FD1E0AD" w14:textId="38B7CF3D" w:rsidR="00625AD6" w:rsidRPr="00A879AF" w:rsidRDefault="000F1DDA" w:rsidP="00625AD6">
            <w:pPr>
              <w:jc w:val="center"/>
              <w:rPr>
                <w:rFonts w:ascii="Calibri" w:eastAsia="Times New Roman" w:hAnsi="Calibri" w:cs="Calibri"/>
                <w:color w:val="243587"/>
                <w:sz w:val="22"/>
                <w:szCs w:val="22"/>
                <w:lang w:eastAsia="el-GR"/>
              </w:rPr>
            </w:pPr>
            <w:r>
              <w:rPr>
                <w:rFonts w:ascii="Calibri" w:eastAsia="Times New Roman" w:hAnsi="Calibri" w:cs="Calibri"/>
                <w:color w:val="243587"/>
                <w:sz w:val="22"/>
                <w:szCs w:val="22"/>
                <w:lang w:eastAsia="el-GR"/>
              </w:rPr>
              <w:t>-</w:t>
            </w:r>
          </w:p>
        </w:tc>
      </w:tr>
      <w:tr w:rsidR="00625AD6" w:rsidRPr="006D458E" w14:paraId="54016573" w14:textId="77777777" w:rsidTr="00F806F0">
        <w:trPr>
          <w:trHeight w:val="169"/>
        </w:trPr>
        <w:tc>
          <w:tcPr>
            <w:tcW w:w="6096"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AB27E44" w14:textId="77777777" w:rsidR="00625AD6" w:rsidRPr="00586584" w:rsidRDefault="00625AD6" w:rsidP="00625AD6">
            <w:pPr>
              <w:rPr>
                <w:rFonts w:ascii="Calibri" w:eastAsia="Times New Roman" w:hAnsi="Calibri" w:cs="Calibri"/>
                <w:color w:val="243587"/>
                <w:sz w:val="22"/>
                <w:szCs w:val="22"/>
                <w:lang w:eastAsia="el-GR"/>
              </w:rPr>
            </w:pPr>
            <w:proofErr w:type="spellStart"/>
            <w:r w:rsidRPr="00586584">
              <w:rPr>
                <w:rFonts w:ascii="Calibri" w:eastAsia="Times New Roman" w:hAnsi="Calibri" w:cs="Calibri"/>
                <w:color w:val="243587"/>
                <w:sz w:val="22"/>
                <w:szCs w:val="22"/>
                <w:lang w:eastAsia="el-GR"/>
              </w:rPr>
              <w:t>Φόρος</w:t>
            </w:r>
            <w:proofErr w:type="spellEnd"/>
            <w:r w:rsidRPr="00586584">
              <w:rPr>
                <w:rFonts w:ascii="Calibri" w:eastAsia="Times New Roman" w:hAnsi="Calibri" w:cs="Calibri"/>
                <w:color w:val="243587"/>
                <w:sz w:val="22"/>
                <w:szCs w:val="22"/>
                <w:lang w:eastAsia="el-GR"/>
              </w:rPr>
              <w:t xml:space="preserve"> </w:t>
            </w:r>
            <w:proofErr w:type="spellStart"/>
            <w:r w:rsidRPr="00586584">
              <w:rPr>
                <w:rFonts w:ascii="Calibri" w:eastAsia="Times New Roman" w:hAnsi="Calibri" w:cs="Calibri"/>
                <w:color w:val="243587"/>
                <w:sz w:val="22"/>
                <w:szCs w:val="22"/>
                <w:lang w:eastAsia="el-GR"/>
              </w:rPr>
              <w:t>εισοδήμ</w:t>
            </w:r>
            <w:proofErr w:type="spellEnd"/>
            <w:r w:rsidRPr="00586584">
              <w:rPr>
                <w:rFonts w:ascii="Calibri" w:eastAsia="Times New Roman" w:hAnsi="Calibri" w:cs="Calibri"/>
                <w:color w:val="243587"/>
                <w:sz w:val="22"/>
                <w:szCs w:val="22"/>
                <w:lang w:eastAsia="el-GR"/>
              </w:rPr>
              <w:t>ατος</w:t>
            </w:r>
          </w:p>
        </w:tc>
        <w:tc>
          <w:tcPr>
            <w:tcW w:w="1701" w:type="dxa"/>
            <w:tcBorders>
              <w:top w:val="dotted"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4CA2BE7C" w14:textId="118E1A1D"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9,9</w:t>
            </w:r>
          </w:p>
        </w:tc>
        <w:tc>
          <w:tcPr>
            <w:tcW w:w="1417" w:type="dxa"/>
            <w:tcBorders>
              <w:top w:val="dotted" w:sz="4" w:space="0" w:color="1F3864" w:themeColor="accent1" w:themeShade="80"/>
              <w:left w:val="nil"/>
              <w:bottom w:val="single" w:sz="4" w:space="0" w:color="1F3864" w:themeColor="accent1" w:themeShade="80"/>
              <w:right w:val="nil"/>
            </w:tcBorders>
            <w:shd w:val="clear" w:color="auto" w:fill="EFF2F9"/>
            <w:vAlign w:val="center"/>
          </w:tcPr>
          <w:p w14:paraId="1A727557" w14:textId="0ED995A1" w:rsidR="00625AD6" w:rsidRPr="00A879AF"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4,2</w:t>
            </w:r>
          </w:p>
        </w:tc>
        <w:tc>
          <w:tcPr>
            <w:tcW w:w="1252" w:type="dxa"/>
            <w:tcBorders>
              <w:top w:val="dotted" w:sz="4" w:space="0" w:color="1F3864" w:themeColor="accent1" w:themeShade="80"/>
              <w:left w:val="nil"/>
              <w:bottom w:val="single" w:sz="4" w:space="0" w:color="1F3864" w:themeColor="accent1" w:themeShade="80"/>
              <w:right w:val="nil"/>
            </w:tcBorders>
            <w:vAlign w:val="center"/>
          </w:tcPr>
          <w:p w14:paraId="340C395D" w14:textId="33F845B6" w:rsidR="00625AD6" w:rsidRPr="005920BE" w:rsidRDefault="00B41C28" w:rsidP="00625AD6">
            <w:pPr>
              <w:jc w:val="center"/>
              <w:rPr>
                <w:rFonts w:ascii="Calibri" w:eastAsia="Times New Roman" w:hAnsi="Calibri" w:cs="Calibri"/>
                <w:color w:val="243587"/>
                <w:sz w:val="22"/>
                <w:szCs w:val="22"/>
                <w:lang w:eastAsia="el-GR"/>
              </w:rPr>
            </w:pPr>
            <w:r w:rsidRPr="005920BE">
              <w:rPr>
                <w:rFonts w:ascii="Calibri" w:eastAsia="Times New Roman" w:hAnsi="Calibri" w:cs="Calibri"/>
                <w:color w:val="243587"/>
                <w:sz w:val="22"/>
                <w:szCs w:val="22"/>
                <w:lang w:eastAsia="el-GR"/>
              </w:rPr>
              <w:t>-</w:t>
            </w:r>
          </w:p>
        </w:tc>
      </w:tr>
      <w:tr w:rsidR="00625AD6" w:rsidRPr="004B5251" w14:paraId="6643DE90" w14:textId="77777777" w:rsidTr="00F806F0">
        <w:trPr>
          <w:trHeight w:val="169"/>
        </w:trPr>
        <w:tc>
          <w:tcPr>
            <w:tcW w:w="6096"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549DBD40" w14:textId="77777777" w:rsidR="00625AD6" w:rsidRPr="00756F62" w:rsidRDefault="00625AD6" w:rsidP="00625AD6">
            <w:pPr>
              <w:rPr>
                <w:rFonts w:ascii="Calibri" w:eastAsia="Times New Roman" w:hAnsi="Calibri" w:cs="Calibri"/>
                <w:b/>
                <w:bCs/>
                <w:color w:val="243587"/>
                <w:sz w:val="22"/>
                <w:szCs w:val="22"/>
                <w:lang w:val="el-GR" w:eastAsia="el-GR"/>
              </w:rPr>
            </w:pPr>
            <w:r w:rsidRPr="00756F62">
              <w:rPr>
                <w:rFonts w:ascii="Calibri" w:eastAsia="Times New Roman" w:hAnsi="Calibri" w:cs="Calibri"/>
                <w:b/>
                <w:bCs/>
                <w:color w:val="243587"/>
                <w:sz w:val="22"/>
                <w:szCs w:val="22"/>
                <w:lang w:val="el-GR" w:eastAsia="el-GR"/>
              </w:rPr>
              <w:t>Κέρδη/(Ζημίες) χρήσης μετά από φόρους</w:t>
            </w:r>
          </w:p>
        </w:tc>
        <w:tc>
          <w:tcPr>
            <w:tcW w:w="1701"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13" w:type="dxa"/>
              <w:bottom w:w="0" w:type="dxa"/>
              <w:right w:w="13" w:type="dxa"/>
            </w:tcMar>
            <w:vAlign w:val="center"/>
          </w:tcPr>
          <w:p w14:paraId="42721D3C" w14:textId="4A72DDA4"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(38,5)</w:t>
            </w:r>
          </w:p>
        </w:tc>
        <w:tc>
          <w:tcPr>
            <w:tcW w:w="1417" w:type="dxa"/>
            <w:tcBorders>
              <w:top w:val="single" w:sz="4" w:space="0" w:color="1F3864" w:themeColor="accent1" w:themeShade="80"/>
              <w:left w:val="nil"/>
              <w:bottom w:val="single" w:sz="4" w:space="0" w:color="1F3864" w:themeColor="accent1" w:themeShade="80"/>
              <w:right w:val="nil"/>
            </w:tcBorders>
            <w:shd w:val="clear" w:color="auto" w:fill="EFF2F9"/>
            <w:vAlign w:val="center"/>
          </w:tcPr>
          <w:p w14:paraId="2ED87099" w14:textId="2ABA72DB" w:rsidR="00625AD6" w:rsidRPr="00874556" w:rsidRDefault="00625AD6" w:rsidP="00625AD6">
            <w:pPr>
              <w:jc w:val="center"/>
              <w:rPr>
                <w:rFonts w:ascii="Calibri" w:eastAsia="Times New Roman" w:hAnsi="Calibri" w:cs="Calibri"/>
                <w:color w:val="243587"/>
                <w:sz w:val="22"/>
                <w:szCs w:val="22"/>
                <w:lang w:eastAsia="el-GR"/>
              </w:rPr>
            </w:pPr>
            <w:r w:rsidRPr="00625AD6">
              <w:rPr>
                <w:rFonts w:ascii="Calibri" w:eastAsia="Times New Roman" w:hAnsi="Calibri" w:cs="Calibri"/>
                <w:color w:val="243587"/>
                <w:sz w:val="22"/>
                <w:szCs w:val="22"/>
                <w:lang w:eastAsia="el-GR"/>
              </w:rPr>
              <w:t>(14,4)</w:t>
            </w:r>
          </w:p>
        </w:tc>
        <w:tc>
          <w:tcPr>
            <w:tcW w:w="1252" w:type="dxa"/>
            <w:tcBorders>
              <w:top w:val="single" w:sz="4" w:space="0" w:color="1F3864" w:themeColor="accent1" w:themeShade="80"/>
              <w:left w:val="nil"/>
              <w:bottom w:val="single" w:sz="4" w:space="0" w:color="1F3864" w:themeColor="accent1" w:themeShade="80"/>
              <w:right w:val="nil"/>
            </w:tcBorders>
            <w:vAlign w:val="center"/>
          </w:tcPr>
          <w:p w14:paraId="40646357" w14:textId="6AA1B6A5" w:rsidR="00625AD6" w:rsidRPr="005920BE" w:rsidRDefault="00B41C28" w:rsidP="00625AD6">
            <w:pPr>
              <w:jc w:val="center"/>
              <w:rPr>
                <w:rFonts w:ascii="Calibri" w:eastAsia="Times New Roman" w:hAnsi="Calibri" w:cs="Calibri"/>
                <w:color w:val="243587"/>
                <w:sz w:val="22"/>
                <w:szCs w:val="22"/>
                <w:lang w:eastAsia="el-GR"/>
              </w:rPr>
            </w:pPr>
            <w:r w:rsidRPr="005920BE">
              <w:rPr>
                <w:rFonts w:ascii="Calibri" w:eastAsia="Times New Roman" w:hAnsi="Calibri" w:cs="Calibri"/>
                <w:color w:val="243587"/>
                <w:sz w:val="22"/>
                <w:szCs w:val="22"/>
                <w:lang w:eastAsia="el-GR"/>
              </w:rPr>
              <w:t>-</w:t>
            </w:r>
          </w:p>
        </w:tc>
      </w:tr>
    </w:tbl>
    <w:p w14:paraId="54BE31F9" w14:textId="77777777" w:rsidR="00313A0E" w:rsidRDefault="00313A0E" w:rsidP="00313A0E">
      <w:pPr>
        <w:spacing w:after="120"/>
        <w:jc w:val="both"/>
        <w:rPr>
          <w:rFonts w:cstheme="minorHAnsi"/>
          <w:b/>
          <w:bCs/>
          <w:color w:val="243587"/>
          <w:sz w:val="22"/>
          <w:szCs w:val="22"/>
          <w:lang w:val="el-GR"/>
        </w:rPr>
      </w:pPr>
    </w:p>
    <w:p w14:paraId="1F8FFA5F" w14:textId="77777777" w:rsidR="00645A95" w:rsidRDefault="00645A95" w:rsidP="00645A95">
      <w:pPr>
        <w:spacing w:after="120"/>
        <w:jc w:val="both"/>
        <w:rPr>
          <w:rFonts w:cstheme="minorHAnsi"/>
          <w:b/>
          <w:bCs/>
          <w:color w:val="243587"/>
          <w:sz w:val="22"/>
          <w:szCs w:val="22"/>
          <w:lang w:val="el-GR"/>
        </w:rPr>
      </w:pPr>
    </w:p>
    <w:p w14:paraId="7184CAFA" w14:textId="77777777" w:rsidR="00193535" w:rsidRDefault="00193535" w:rsidP="00645A95">
      <w:pPr>
        <w:spacing w:after="120"/>
        <w:jc w:val="both"/>
        <w:rPr>
          <w:rFonts w:cstheme="minorHAnsi"/>
          <w:b/>
          <w:bCs/>
          <w:color w:val="243587"/>
          <w:sz w:val="22"/>
          <w:szCs w:val="22"/>
          <w:lang w:val="el-GR"/>
        </w:rPr>
      </w:pPr>
    </w:p>
    <w:p w14:paraId="0E6BC911" w14:textId="77777777" w:rsidR="00313A0E" w:rsidRDefault="00313A0E" w:rsidP="00645A95">
      <w:pPr>
        <w:spacing w:after="120"/>
        <w:jc w:val="both"/>
        <w:rPr>
          <w:rFonts w:cstheme="minorHAnsi"/>
          <w:b/>
          <w:bCs/>
          <w:color w:val="243587"/>
          <w:sz w:val="22"/>
          <w:szCs w:val="22"/>
          <w:lang w:val="el-GR"/>
        </w:rPr>
      </w:pPr>
    </w:p>
    <w:p w14:paraId="580D488C" w14:textId="0C415E36" w:rsidR="00313A0E" w:rsidRDefault="00313A0E" w:rsidP="00645A95">
      <w:pPr>
        <w:spacing w:after="120"/>
        <w:jc w:val="both"/>
        <w:rPr>
          <w:rFonts w:cstheme="minorHAnsi"/>
          <w:b/>
          <w:bCs/>
          <w:color w:val="243587"/>
          <w:sz w:val="22"/>
          <w:szCs w:val="22"/>
          <w:lang w:val="el-GR"/>
        </w:rPr>
      </w:pPr>
    </w:p>
    <w:p w14:paraId="42C7E8C7" w14:textId="77777777" w:rsidR="002737D1" w:rsidRDefault="002737D1" w:rsidP="00645A95">
      <w:pPr>
        <w:spacing w:after="120"/>
        <w:jc w:val="both"/>
        <w:rPr>
          <w:rFonts w:cstheme="minorHAnsi"/>
          <w:b/>
          <w:bCs/>
          <w:color w:val="243587"/>
          <w:sz w:val="22"/>
          <w:szCs w:val="22"/>
          <w:lang w:val="el-GR"/>
        </w:rPr>
      </w:pPr>
    </w:p>
    <w:p w14:paraId="056E443A" w14:textId="77777777" w:rsidR="00B3306F" w:rsidRDefault="00B3306F" w:rsidP="00645A95">
      <w:pPr>
        <w:spacing w:after="120"/>
        <w:jc w:val="both"/>
        <w:rPr>
          <w:rFonts w:cstheme="minorHAnsi"/>
          <w:b/>
          <w:bCs/>
          <w:color w:val="243587"/>
          <w:sz w:val="22"/>
          <w:szCs w:val="22"/>
          <w:lang w:val="el-GR"/>
        </w:rPr>
      </w:pPr>
    </w:p>
    <w:p w14:paraId="42D44B3A" w14:textId="3EBD7640" w:rsidR="00645A95" w:rsidRPr="002A6638" w:rsidRDefault="008916D0" w:rsidP="00645A95">
      <w:pPr>
        <w:spacing w:after="120"/>
        <w:jc w:val="both"/>
        <w:rPr>
          <w:rFonts w:cstheme="minorHAnsi"/>
          <w:b/>
          <w:bCs/>
          <w:color w:val="243587"/>
          <w:sz w:val="22"/>
          <w:szCs w:val="22"/>
          <w:lang w:val="el-GR"/>
        </w:rPr>
      </w:pPr>
      <w:r>
        <w:rPr>
          <w:rFonts w:cstheme="minorHAnsi"/>
          <w:b/>
          <w:bCs/>
          <w:color w:val="243587"/>
          <w:sz w:val="22"/>
          <w:szCs w:val="22"/>
          <w:lang w:val="el-GR"/>
        </w:rPr>
        <w:lastRenderedPageBreak/>
        <w:t xml:space="preserve">Συνοπτική </w:t>
      </w:r>
      <w:r w:rsidR="002A6638">
        <w:rPr>
          <w:rFonts w:cstheme="minorHAnsi"/>
          <w:b/>
          <w:bCs/>
          <w:color w:val="243587"/>
          <w:sz w:val="22"/>
          <w:szCs w:val="22"/>
          <w:lang w:val="el-GR"/>
        </w:rPr>
        <w:t>Ενοποιημένη Κατάσταση Οικονομικής Θέσης</w:t>
      </w:r>
    </w:p>
    <w:tbl>
      <w:tblPr>
        <w:tblW w:w="10206" w:type="dxa"/>
        <w:tblCellMar>
          <w:left w:w="0" w:type="dxa"/>
          <w:right w:w="0" w:type="dxa"/>
        </w:tblCellMar>
        <w:tblLook w:val="04A0" w:firstRow="1" w:lastRow="0" w:firstColumn="1" w:lastColumn="0" w:noHBand="0" w:noVBand="1"/>
      </w:tblPr>
      <w:tblGrid>
        <w:gridCol w:w="6455"/>
        <w:gridCol w:w="1684"/>
        <w:gridCol w:w="2067"/>
      </w:tblGrid>
      <w:tr w:rsidR="002A6638" w:rsidRPr="001526FF" w14:paraId="7252D035" w14:textId="77777777" w:rsidTr="00F806F0">
        <w:trPr>
          <w:trHeight w:val="233"/>
        </w:trPr>
        <w:tc>
          <w:tcPr>
            <w:tcW w:w="6455" w:type="dxa"/>
            <w:tcBorders>
              <w:top w:val="nil"/>
              <w:left w:val="nil"/>
              <w:bottom w:val="nil"/>
              <w:right w:val="nil"/>
            </w:tcBorders>
            <w:shd w:val="clear" w:color="auto" w:fill="002677"/>
            <w:tcMar>
              <w:top w:w="13" w:type="dxa"/>
              <w:left w:w="97" w:type="dxa"/>
              <w:bottom w:w="0" w:type="dxa"/>
              <w:right w:w="97" w:type="dxa"/>
            </w:tcMar>
            <w:vAlign w:val="center"/>
          </w:tcPr>
          <w:p w14:paraId="6556BEBF" w14:textId="77777777" w:rsidR="002A6638" w:rsidRPr="001526FF" w:rsidRDefault="002A6638" w:rsidP="0080512F">
            <w:pPr>
              <w:rPr>
                <w:rFonts w:cstheme="minorHAnsi"/>
                <w:color w:val="FFFFFF" w:themeColor="background1"/>
                <w:kern w:val="24"/>
                <w:sz w:val="22"/>
                <w:szCs w:val="22"/>
                <w:lang w:val="en-US"/>
              </w:rPr>
            </w:pPr>
            <w:r w:rsidRPr="001526FF">
              <w:rPr>
                <w:rFonts w:cstheme="minorHAnsi"/>
                <w:color w:val="FFFFFF" w:themeColor="background1"/>
                <w:kern w:val="24"/>
                <w:sz w:val="22"/>
                <w:szCs w:val="22"/>
                <w:lang w:val="en-US"/>
              </w:rPr>
              <w:t>(</w:t>
            </w:r>
            <w:r>
              <w:rPr>
                <w:rFonts w:cstheme="minorHAnsi"/>
                <w:color w:val="FFFFFF" w:themeColor="background1"/>
                <w:kern w:val="24"/>
                <w:sz w:val="22"/>
                <w:szCs w:val="22"/>
                <w:lang w:val="el-GR"/>
              </w:rPr>
              <w:t>σε</w:t>
            </w:r>
            <w:r w:rsidRPr="001526FF">
              <w:rPr>
                <w:rFonts w:cstheme="minorHAnsi"/>
                <w:color w:val="FFFFFF" w:themeColor="background1"/>
                <w:kern w:val="24"/>
                <w:sz w:val="22"/>
                <w:szCs w:val="22"/>
                <w:lang w:val="en-US"/>
              </w:rPr>
              <w:t xml:space="preserve"> € </w:t>
            </w:r>
            <w:proofErr w:type="spellStart"/>
            <w:r>
              <w:rPr>
                <w:rFonts w:cstheme="minorHAnsi"/>
                <w:color w:val="FFFFFF" w:themeColor="background1"/>
                <w:kern w:val="24"/>
                <w:sz w:val="22"/>
                <w:szCs w:val="22"/>
                <w:lang w:val="el-GR"/>
              </w:rPr>
              <w:t>εκατ</w:t>
            </w:r>
            <w:proofErr w:type="spellEnd"/>
            <w:r w:rsidRPr="001526FF">
              <w:rPr>
                <w:rFonts w:cstheme="minorHAnsi"/>
                <w:color w:val="FFFFFF" w:themeColor="background1"/>
                <w:kern w:val="24"/>
                <w:sz w:val="22"/>
                <w:szCs w:val="22"/>
                <w:lang w:val="en-US"/>
              </w:rPr>
              <w:t>.)</w:t>
            </w:r>
          </w:p>
        </w:tc>
        <w:tc>
          <w:tcPr>
            <w:tcW w:w="1684" w:type="dxa"/>
            <w:tcBorders>
              <w:top w:val="nil"/>
              <w:left w:val="nil"/>
              <w:bottom w:val="nil"/>
              <w:right w:val="nil"/>
            </w:tcBorders>
            <w:shd w:val="clear" w:color="auto" w:fill="002677"/>
            <w:vAlign w:val="center"/>
          </w:tcPr>
          <w:p w14:paraId="4BE0800D" w14:textId="77777777" w:rsidR="002A6638" w:rsidRPr="000F4B80" w:rsidRDefault="002A6638" w:rsidP="0080512F">
            <w:pPr>
              <w:spacing w:line="280" w:lineRule="exact"/>
              <w:jc w:val="center"/>
              <w:rPr>
                <w:rFonts w:cstheme="minorHAnsi"/>
                <w:b/>
                <w:bCs/>
                <w:color w:val="FFFFFF" w:themeColor="background1"/>
                <w:kern w:val="24"/>
                <w:sz w:val="22"/>
                <w:szCs w:val="22"/>
                <w:lang w:val="el-GR"/>
              </w:rPr>
            </w:pPr>
            <w:r>
              <w:rPr>
                <w:rFonts w:cstheme="minorHAnsi"/>
                <w:b/>
                <w:bCs/>
                <w:color w:val="FFFFFF" w:themeColor="background1"/>
                <w:kern w:val="24"/>
                <w:sz w:val="22"/>
                <w:szCs w:val="22"/>
                <w:lang w:val="el-GR"/>
              </w:rPr>
              <w:t>31.12.</w:t>
            </w:r>
            <w:r w:rsidRPr="001526FF">
              <w:rPr>
                <w:rFonts w:cstheme="minorHAnsi"/>
                <w:b/>
                <w:bCs/>
                <w:color w:val="FFFFFF" w:themeColor="background1"/>
                <w:kern w:val="24"/>
                <w:sz w:val="22"/>
                <w:szCs w:val="22"/>
                <w:lang w:val="en-US"/>
              </w:rPr>
              <w:t>202</w:t>
            </w:r>
            <w:r w:rsidR="000F4B80">
              <w:rPr>
                <w:rFonts w:cstheme="minorHAnsi"/>
                <w:b/>
                <w:bCs/>
                <w:color w:val="FFFFFF" w:themeColor="background1"/>
                <w:kern w:val="24"/>
                <w:sz w:val="22"/>
                <w:szCs w:val="22"/>
                <w:lang w:val="el-GR"/>
              </w:rPr>
              <w:t>2</w:t>
            </w:r>
          </w:p>
        </w:tc>
        <w:tc>
          <w:tcPr>
            <w:tcW w:w="2067" w:type="dxa"/>
            <w:tcBorders>
              <w:top w:val="nil"/>
              <w:left w:val="nil"/>
              <w:bottom w:val="nil"/>
              <w:right w:val="nil"/>
            </w:tcBorders>
            <w:shd w:val="clear" w:color="auto" w:fill="002677"/>
            <w:tcMar>
              <w:top w:w="13" w:type="dxa"/>
              <w:left w:w="13" w:type="dxa"/>
              <w:bottom w:w="0" w:type="dxa"/>
              <w:right w:w="13" w:type="dxa"/>
            </w:tcMar>
            <w:vAlign w:val="center"/>
          </w:tcPr>
          <w:p w14:paraId="7E9D4451" w14:textId="77777777" w:rsidR="002A6638" w:rsidRPr="000F4B80" w:rsidRDefault="002A6638" w:rsidP="002A6638">
            <w:pPr>
              <w:spacing w:line="280" w:lineRule="exact"/>
              <w:jc w:val="center"/>
              <w:rPr>
                <w:rFonts w:cstheme="minorHAnsi"/>
                <w:sz w:val="22"/>
                <w:szCs w:val="22"/>
                <w:lang w:val="el-GR"/>
              </w:rPr>
            </w:pPr>
            <w:r>
              <w:rPr>
                <w:rFonts w:cstheme="minorHAnsi"/>
                <w:b/>
                <w:bCs/>
                <w:color w:val="FFFFFF" w:themeColor="background1"/>
                <w:kern w:val="24"/>
                <w:sz w:val="22"/>
                <w:szCs w:val="22"/>
                <w:lang w:val="el-GR"/>
              </w:rPr>
              <w:t>31.</w:t>
            </w:r>
            <w:r w:rsidR="000F4B80">
              <w:rPr>
                <w:rFonts w:cstheme="minorHAnsi"/>
                <w:b/>
                <w:bCs/>
                <w:color w:val="FFFFFF" w:themeColor="background1"/>
                <w:kern w:val="24"/>
                <w:sz w:val="22"/>
                <w:szCs w:val="22"/>
                <w:lang w:val="el-GR"/>
              </w:rPr>
              <w:t>03</w:t>
            </w:r>
            <w:r>
              <w:rPr>
                <w:rFonts w:cstheme="minorHAnsi"/>
                <w:b/>
                <w:bCs/>
                <w:color w:val="FFFFFF" w:themeColor="background1"/>
                <w:kern w:val="24"/>
                <w:sz w:val="22"/>
                <w:szCs w:val="22"/>
                <w:lang w:val="el-GR"/>
              </w:rPr>
              <w:t>.</w:t>
            </w:r>
            <w:r w:rsidRPr="001526FF">
              <w:rPr>
                <w:rFonts w:cstheme="minorHAnsi"/>
                <w:b/>
                <w:bCs/>
                <w:color w:val="FFFFFF" w:themeColor="background1"/>
                <w:kern w:val="24"/>
                <w:sz w:val="22"/>
                <w:szCs w:val="22"/>
                <w:lang w:val="en-US"/>
              </w:rPr>
              <w:t>202</w:t>
            </w:r>
            <w:r w:rsidR="000F4B80">
              <w:rPr>
                <w:rFonts w:cstheme="minorHAnsi"/>
                <w:b/>
                <w:bCs/>
                <w:color w:val="FFFFFF" w:themeColor="background1"/>
                <w:kern w:val="24"/>
                <w:sz w:val="22"/>
                <w:szCs w:val="22"/>
                <w:lang w:val="el-GR"/>
              </w:rPr>
              <w:t>3</w:t>
            </w:r>
          </w:p>
        </w:tc>
      </w:tr>
      <w:tr w:rsidR="002A6638" w:rsidRPr="001526FF" w14:paraId="056E2060" w14:textId="77777777" w:rsidTr="00F806F0">
        <w:trPr>
          <w:trHeight w:val="94"/>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6E0A79F6" w14:textId="77777777" w:rsidR="002A6638" w:rsidRPr="001526FF" w:rsidRDefault="002A6638" w:rsidP="0080512F">
            <w:pPr>
              <w:rPr>
                <w:rFonts w:cstheme="minorHAnsi"/>
                <w:color w:val="243587"/>
                <w:sz w:val="22"/>
                <w:szCs w:val="22"/>
              </w:rPr>
            </w:pPr>
          </w:p>
        </w:tc>
        <w:tc>
          <w:tcPr>
            <w:tcW w:w="1684" w:type="dxa"/>
            <w:tcBorders>
              <w:top w:val="nil"/>
              <w:left w:val="nil"/>
              <w:bottom w:val="nil"/>
              <w:right w:val="nil"/>
            </w:tcBorders>
            <w:vAlign w:val="center"/>
          </w:tcPr>
          <w:p w14:paraId="22F5C42F" w14:textId="77777777" w:rsidR="002A6638" w:rsidRPr="001526FF" w:rsidRDefault="002A6638" w:rsidP="0080512F">
            <w:pPr>
              <w:jc w:val="center"/>
              <w:textAlignment w:val="bottom"/>
              <w:rPr>
                <w:rFonts w:eastAsia="Calibri" w:cstheme="minorHAnsi"/>
                <w:color w:val="213368"/>
                <w:kern w:val="24"/>
                <w:sz w:val="22"/>
                <w:szCs w:val="22"/>
                <w:lang w:val="el-GR" w:eastAsia="el-GR"/>
              </w:rPr>
            </w:pP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4974159E" w14:textId="77777777" w:rsidR="002A6638" w:rsidRPr="001526FF" w:rsidRDefault="002A6638" w:rsidP="0080512F">
            <w:pPr>
              <w:jc w:val="center"/>
              <w:textAlignment w:val="bottom"/>
              <w:rPr>
                <w:rFonts w:eastAsia="Calibri" w:cstheme="minorHAnsi"/>
                <w:color w:val="213368"/>
                <w:kern w:val="24"/>
                <w:sz w:val="22"/>
                <w:szCs w:val="22"/>
                <w:lang w:val="el-GR" w:eastAsia="el-GR"/>
              </w:rPr>
            </w:pPr>
          </w:p>
        </w:tc>
      </w:tr>
      <w:tr w:rsidR="00EA1A96" w:rsidRPr="001526FF" w14:paraId="079B5DC2" w14:textId="77777777" w:rsidTr="00F806F0">
        <w:trPr>
          <w:trHeight w:val="233"/>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6CDCAB69" w14:textId="77777777" w:rsidR="00EA1A96" w:rsidRPr="002A6638" w:rsidRDefault="00EA1A96" w:rsidP="00EA1A96">
            <w:pPr>
              <w:rPr>
                <w:rFonts w:cstheme="minorHAnsi"/>
                <w:color w:val="243587"/>
                <w:sz w:val="22"/>
                <w:szCs w:val="22"/>
              </w:rPr>
            </w:pPr>
            <w:proofErr w:type="spellStart"/>
            <w:r w:rsidRPr="002A6638">
              <w:rPr>
                <w:rFonts w:cstheme="minorHAnsi"/>
                <w:color w:val="243587"/>
                <w:sz w:val="22"/>
                <w:szCs w:val="22"/>
              </w:rPr>
              <w:t>Μη</w:t>
            </w:r>
            <w:proofErr w:type="spellEnd"/>
            <w:r w:rsidRPr="002A6638">
              <w:rPr>
                <w:rFonts w:cstheme="minorHAnsi"/>
                <w:color w:val="243587"/>
                <w:sz w:val="22"/>
                <w:szCs w:val="22"/>
              </w:rPr>
              <w:t xml:space="preserve"> </w:t>
            </w:r>
            <w:proofErr w:type="spellStart"/>
            <w:r w:rsidRPr="002A6638">
              <w:rPr>
                <w:rFonts w:cstheme="minorHAnsi"/>
                <w:color w:val="243587"/>
                <w:sz w:val="22"/>
                <w:szCs w:val="22"/>
              </w:rPr>
              <w:t>κυκλοφορούντ</w:t>
            </w:r>
            <w:proofErr w:type="spellEnd"/>
            <w:r w:rsidRPr="002A6638">
              <w:rPr>
                <w:rFonts w:cstheme="minorHAnsi"/>
                <w:color w:val="243587"/>
                <w:sz w:val="22"/>
                <w:szCs w:val="22"/>
              </w:rPr>
              <w:t>α π</w:t>
            </w:r>
            <w:proofErr w:type="spellStart"/>
            <w:r w:rsidRPr="002A6638">
              <w:rPr>
                <w:rFonts w:cstheme="minorHAnsi"/>
                <w:color w:val="243587"/>
                <w:sz w:val="22"/>
                <w:szCs w:val="22"/>
              </w:rPr>
              <w:t>εριουσι</w:t>
            </w:r>
            <w:proofErr w:type="spellEnd"/>
            <w:r w:rsidRPr="002A6638">
              <w:rPr>
                <w:rFonts w:cstheme="minorHAnsi"/>
                <w:color w:val="243587"/>
                <w:sz w:val="22"/>
                <w:szCs w:val="22"/>
              </w:rPr>
              <w:t xml:space="preserve">ακά </w:t>
            </w:r>
            <w:proofErr w:type="spellStart"/>
            <w:r w:rsidRPr="002A6638">
              <w:rPr>
                <w:rFonts w:cstheme="minorHAnsi"/>
                <w:color w:val="243587"/>
                <w:sz w:val="22"/>
                <w:szCs w:val="22"/>
              </w:rPr>
              <w:t>στοιχεί</w:t>
            </w:r>
            <w:proofErr w:type="spellEnd"/>
            <w:r w:rsidRPr="002A6638">
              <w:rPr>
                <w:rFonts w:cstheme="minorHAnsi"/>
                <w:color w:val="243587"/>
                <w:sz w:val="22"/>
                <w:szCs w:val="22"/>
              </w:rPr>
              <w:t>α</w:t>
            </w:r>
          </w:p>
        </w:tc>
        <w:tc>
          <w:tcPr>
            <w:tcW w:w="1684" w:type="dxa"/>
            <w:tcBorders>
              <w:top w:val="nil"/>
              <w:left w:val="nil"/>
              <w:bottom w:val="nil"/>
              <w:right w:val="nil"/>
            </w:tcBorders>
            <w:vAlign w:val="center"/>
          </w:tcPr>
          <w:p w14:paraId="68A8BF3F" w14:textId="77777777" w:rsidR="00EA1A96" w:rsidRPr="0079161C" w:rsidRDefault="00EA1A96" w:rsidP="00EA1A96">
            <w:pPr>
              <w:jc w:val="center"/>
              <w:rPr>
                <w:rFonts w:ascii="Calibri" w:eastAsia="Times New Roman" w:hAnsi="Calibri" w:cs="Calibri"/>
                <w:color w:val="243587"/>
                <w:sz w:val="22"/>
                <w:szCs w:val="22"/>
                <w:lang w:eastAsia="el-GR"/>
              </w:rPr>
            </w:pPr>
            <w:r w:rsidRPr="00055167">
              <w:rPr>
                <w:rFonts w:ascii="Calibri" w:eastAsia="Times New Roman" w:hAnsi="Calibri" w:cs="Calibri"/>
                <w:color w:val="243587"/>
                <w:sz w:val="22"/>
                <w:szCs w:val="22"/>
                <w:lang w:eastAsia="el-GR"/>
              </w:rPr>
              <w:t>1.203,3</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2CBDC781" w14:textId="4B84D4F6" w:rsidR="00EA1A96" w:rsidRPr="00055167"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1.319,1</w:t>
            </w:r>
          </w:p>
        </w:tc>
      </w:tr>
      <w:tr w:rsidR="00EA1A96" w:rsidRPr="001526FF" w14:paraId="2C604A04" w14:textId="77777777" w:rsidTr="00F806F0">
        <w:trPr>
          <w:trHeight w:val="237"/>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6E68904C" w14:textId="39C3BB88" w:rsidR="00EA1A96" w:rsidRPr="00074432" w:rsidRDefault="00EA1A96" w:rsidP="00EA1A96">
            <w:pPr>
              <w:rPr>
                <w:rFonts w:cstheme="minorHAnsi"/>
                <w:color w:val="243587"/>
                <w:sz w:val="22"/>
                <w:szCs w:val="22"/>
                <w:lang w:val="el-GR"/>
              </w:rPr>
            </w:pPr>
            <w:r w:rsidRPr="002A6638">
              <w:rPr>
                <w:rFonts w:cstheme="minorHAnsi"/>
                <w:color w:val="243587"/>
                <w:sz w:val="22"/>
                <w:szCs w:val="22"/>
              </w:rPr>
              <w:t>Τα</w:t>
            </w:r>
            <w:proofErr w:type="spellStart"/>
            <w:r w:rsidRPr="002A6638">
              <w:rPr>
                <w:rFonts w:cstheme="minorHAnsi"/>
                <w:color w:val="243587"/>
                <w:sz w:val="22"/>
                <w:szCs w:val="22"/>
              </w:rPr>
              <w:t>μει</w:t>
            </w:r>
            <w:proofErr w:type="spellEnd"/>
            <w:r w:rsidRPr="002A6638">
              <w:rPr>
                <w:rFonts w:cstheme="minorHAnsi"/>
                <w:color w:val="243587"/>
                <w:sz w:val="22"/>
                <w:szCs w:val="22"/>
              </w:rPr>
              <w:t xml:space="preserve">ακά </w:t>
            </w:r>
            <w:proofErr w:type="spellStart"/>
            <w:r w:rsidRPr="002A6638">
              <w:rPr>
                <w:rFonts w:cstheme="minorHAnsi"/>
                <w:color w:val="243587"/>
                <w:sz w:val="22"/>
                <w:szCs w:val="22"/>
              </w:rPr>
              <w:t>Δι</w:t>
            </w:r>
            <w:proofErr w:type="spellEnd"/>
            <w:r w:rsidRPr="002A6638">
              <w:rPr>
                <w:rFonts w:cstheme="minorHAnsi"/>
                <w:color w:val="243587"/>
                <w:sz w:val="22"/>
                <w:szCs w:val="22"/>
              </w:rPr>
              <w:t>αθέσιμα</w:t>
            </w:r>
            <w:r w:rsidR="00074432" w:rsidRPr="00074432">
              <w:rPr>
                <w:rFonts w:cstheme="minorHAnsi"/>
                <w:color w:val="243587"/>
                <w:sz w:val="22"/>
                <w:szCs w:val="22"/>
                <w:vertAlign w:val="superscript"/>
                <w:lang w:val="el-GR"/>
              </w:rPr>
              <w:t>1</w:t>
            </w:r>
          </w:p>
        </w:tc>
        <w:tc>
          <w:tcPr>
            <w:tcW w:w="1684" w:type="dxa"/>
            <w:tcBorders>
              <w:top w:val="nil"/>
              <w:left w:val="nil"/>
              <w:bottom w:val="nil"/>
              <w:right w:val="nil"/>
            </w:tcBorders>
            <w:vAlign w:val="center"/>
          </w:tcPr>
          <w:p w14:paraId="3C74B5FC" w14:textId="4431D55F" w:rsidR="00EA1A96" w:rsidRPr="0079161C" w:rsidRDefault="00EA1A96" w:rsidP="00EA1A96">
            <w:pPr>
              <w:jc w:val="center"/>
              <w:rPr>
                <w:rFonts w:ascii="Calibri" w:eastAsia="Times New Roman" w:hAnsi="Calibri" w:cs="Calibri"/>
                <w:color w:val="243587"/>
                <w:sz w:val="22"/>
                <w:szCs w:val="22"/>
                <w:lang w:eastAsia="el-GR"/>
              </w:rPr>
            </w:pPr>
            <w:r w:rsidRPr="00055167">
              <w:rPr>
                <w:rFonts w:ascii="Calibri" w:eastAsia="Times New Roman" w:hAnsi="Calibri" w:cs="Calibri"/>
                <w:color w:val="243587"/>
                <w:sz w:val="22"/>
                <w:szCs w:val="22"/>
                <w:lang w:eastAsia="el-GR"/>
              </w:rPr>
              <w:t>463,7</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6476607B" w14:textId="39518C79" w:rsidR="00EA1A96" w:rsidRPr="00EA1A96"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497,5</w:t>
            </w:r>
          </w:p>
        </w:tc>
      </w:tr>
      <w:tr w:rsidR="00EA1A96" w:rsidRPr="001526FF" w14:paraId="01BB5C0B" w14:textId="77777777" w:rsidTr="00F806F0">
        <w:trPr>
          <w:trHeight w:val="232"/>
        </w:trPr>
        <w:tc>
          <w:tcPr>
            <w:tcW w:w="6455" w:type="dxa"/>
            <w:tcBorders>
              <w:top w:val="nil"/>
              <w:left w:val="nil"/>
              <w:bottom w:val="nil"/>
              <w:right w:val="nil"/>
            </w:tcBorders>
            <w:shd w:val="clear" w:color="auto" w:fill="auto"/>
            <w:tcMar>
              <w:top w:w="13" w:type="dxa"/>
              <w:left w:w="97" w:type="dxa"/>
              <w:bottom w:w="0" w:type="dxa"/>
              <w:right w:w="97" w:type="dxa"/>
            </w:tcMar>
            <w:vAlign w:val="center"/>
            <w:hideMark/>
          </w:tcPr>
          <w:p w14:paraId="0504548C" w14:textId="24FE2082" w:rsidR="00EA1A96" w:rsidRPr="00074432" w:rsidRDefault="00EA1A96" w:rsidP="00EA1A96">
            <w:pPr>
              <w:rPr>
                <w:rFonts w:cstheme="minorHAnsi"/>
                <w:color w:val="243587"/>
                <w:sz w:val="22"/>
                <w:szCs w:val="22"/>
                <w:lang w:val="el-GR"/>
              </w:rPr>
            </w:pPr>
            <w:proofErr w:type="spellStart"/>
            <w:r w:rsidRPr="002A6638">
              <w:rPr>
                <w:rFonts w:cstheme="minorHAnsi"/>
                <w:color w:val="243587"/>
                <w:sz w:val="22"/>
                <w:szCs w:val="22"/>
              </w:rPr>
              <w:t>Xρημ</w:t>
            </w:r>
            <w:proofErr w:type="spellEnd"/>
            <w:r w:rsidRPr="002A6638">
              <w:rPr>
                <w:rFonts w:cstheme="minorHAnsi"/>
                <w:color w:val="243587"/>
                <w:sz w:val="22"/>
                <w:szCs w:val="22"/>
              </w:rPr>
              <w:t>ατοοικονομικά π</w:t>
            </w:r>
            <w:proofErr w:type="spellStart"/>
            <w:r w:rsidRPr="002A6638">
              <w:rPr>
                <w:rFonts w:cstheme="minorHAnsi"/>
                <w:color w:val="243587"/>
                <w:sz w:val="22"/>
                <w:szCs w:val="22"/>
              </w:rPr>
              <w:t>εριουσι</w:t>
            </w:r>
            <w:proofErr w:type="spellEnd"/>
            <w:r w:rsidRPr="002A6638">
              <w:rPr>
                <w:rFonts w:cstheme="minorHAnsi"/>
                <w:color w:val="243587"/>
                <w:sz w:val="22"/>
                <w:szCs w:val="22"/>
              </w:rPr>
              <w:t xml:space="preserve">ακά </w:t>
            </w:r>
            <w:proofErr w:type="spellStart"/>
            <w:r w:rsidRPr="002A6638">
              <w:rPr>
                <w:rFonts w:cstheme="minorHAnsi"/>
                <w:color w:val="243587"/>
                <w:sz w:val="22"/>
                <w:szCs w:val="22"/>
              </w:rPr>
              <w:t>στοιχεί</w:t>
            </w:r>
            <w:proofErr w:type="spellEnd"/>
            <w:r w:rsidRPr="002A6638">
              <w:rPr>
                <w:rFonts w:cstheme="minorHAnsi"/>
                <w:color w:val="243587"/>
                <w:sz w:val="22"/>
                <w:szCs w:val="22"/>
              </w:rPr>
              <w:t>α</w:t>
            </w:r>
            <w:r w:rsidR="00074432" w:rsidRPr="00074432">
              <w:rPr>
                <w:rFonts w:cstheme="minorHAnsi"/>
                <w:color w:val="243587"/>
                <w:sz w:val="22"/>
                <w:szCs w:val="22"/>
                <w:vertAlign w:val="superscript"/>
                <w:lang w:val="el-GR"/>
              </w:rPr>
              <w:t>2</w:t>
            </w:r>
          </w:p>
        </w:tc>
        <w:tc>
          <w:tcPr>
            <w:tcW w:w="1684" w:type="dxa"/>
            <w:tcBorders>
              <w:top w:val="nil"/>
              <w:left w:val="nil"/>
              <w:bottom w:val="nil"/>
              <w:right w:val="nil"/>
            </w:tcBorders>
            <w:vAlign w:val="center"/>
          </w:tcPr>
          <w:p w14:paraId="122C3137" w14:textId="46D3758D" w:rsidR="00EA1A96" w:rsidRPr="0079161C" w:rsidRDefault="00EA1A96" w:rsidP="00EA1A96">
            <w:pPr>
              <w:jc w:val="center"/>
              <w:rPr>
                <w:rFonts w:ascii="Calibri" w:eastAsia="Times New Roman" w:hAnsi="Calibri" w:cs="Calibri"/>
                <w:color w:val="243587"/>
                <w:sz w:val="22"/>
                <w:szCs w:val="22"/>
                <w:lang w:eastAsia="el-GR"/>
              </w:rPr>
            </w:pPr>
            <w:r w:rsidRPr="00055167">
              <w:rPr>
                <w:rFonts w:ascii="Calibri" w:eastAsia="Times New Roman" w:hAnsi="Calibri" w:cs="Calibri"/>
                <w:color w:val="243587"/>
                <w:sz w:val="22"/>
                <w:szCs w:val="22"/>
                <w:lang w:eastAsia="el-GR"/>
              </w:rPr>
              <w:t>64,2</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4468C0DB" w14:textId="0886C72A" w:rsidR="00EA1A96" w:rsidRPr="00EA1A96"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93,6</w:t>
            </w:r>
          </w:p>
        </w:tc>
      </w:tr>
      <w:tr w:rsidR="00EA1A96" w:rsidRPr="001526FF" w14:paraId="56F2AC9C" w14:textId="77777777" w:rsidTr="00F806F0">
        <w:trPr>
          <w:trHeight w:val="280"/>
        </w:trPr>
        <w:tc>
          <w:tcPr>
            <w:tcW w:w="645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BC6B43E" w14:textId="77777777" w:rsidR="00EA1A96" w:rsidRPr="001526FF" w:rsidRDefault="00EA1A96" w:rsidP="00EA1A96">
            <w:pPr>
              <w:rPr>
                <w:rFonts w:cstheme="minorHAnsi"/>
                <w:color w:val="243587"/>
                <w:sz w:val="22"/>
                <w:szCs w:val="22"/>
              </w:rPr>
            </w:pPr>
            <w:proofErr w:type="spellStart"/>
            <w:r w:rsidRPr="002A6638">
              <w:rPr>
                <w:rFonts w:cstheme="minorHAnsi"/>
                <w:color w:val="243587"/>
                <w:sz w:val="22"/>
                <w:szCs w:val="22"/>
              </w:rPr>
              <w:t>Λοι</w:t>
            </w:r>
            <w:proofErr w:type="spellEnd"/>
            <w:r w:rsidRPr="002A6638">
              <w:rPr>
                <w:rFonts w:cstheme="minorHAnsi"/>
                <w:color w:val="243587"/>
                <w:sz w:val="22"/>
                <w:szCs w:val="22"/>
              </w:rPr>
              <w:t xml:space="preserve">πά </w:t>
            </w:r>
            <w:proofErr w:type="spellStart"/>
            <w:r w:rsidRPr="002A6638">
              <w:rPr>
                <w:rFonts w:cstheme="minorHAnsi"/>
                <w:color w:val="243587"/>
                <w:sz w:val="22"/>
                <w:szCs w:val="22"/>
              </w:rPr>
              <w:t>κυκλοφορούντ</w:t>
            </w:r>
            <w:proofErr w:type="spellEnd"/>
            <w:r w:rsidRPr="002A6638">
              <w:rPr>
                <w:rFonts w:cstheme="minorHAnsi"/>
                <w:color w:val="243587"/>
                <w:sz w:val="22"/>
                <w:szCs w:val="22"/>
              </w:rPr>
              <w:t>α π</w:t>
            </w:r>
            <w:proofErr w:type="spellStart"/>
            <w:r w:rsidRPr="002A6638">
              <w:rPr>
                <w:rFonts w:cstheme="minorHAnsi"/>
                <w:color w:val="243587"/>
                <w:sz w:val="22"/>
                <w:szCs w:val="22"/>
              </w:rPr>
              <w:t>εριουσι</w:t>
            </w:r>
            <w:proofErr w:type="spellEnd"/>
            <w:r w:rsidRPr="002A6638">
              <w:rPr>
                <w:rFonts w:cstheme="minorHAnsi"/>
                <w:color w:val="243587"/>
                <w:sz w:val="22"/>
                <w:szCs w:val="22"/>
              </w:rPr>
              <w:t xml:space="preserve">ακά </w:t>
            </w:r>
            <w:proofErr w:type="spellStart"/>
            <w:r w:rsidRPr="002A6638">
              <w:rPr>
                <w:rFonts w:cstheme="minorHAnsi"/>
                <w:color w:val="243587"/>
                <w:sz w:val="22"/>
                <w:szCs w:val="22"/>
              </w:rPr>
              <w:t>στοιχεί</w:t>
            </w:r>
            <w:proofErr w:type="spellEnd"/>
            <w:r w:rsidRPr="002A6638">
              <w:rPr>
                <w:rFonts w:cstheme="minorHAnsi"/>
                <w:color w:val="243587"/>
                <w:sz w:val="22"/>
                <w:szCs w:val="22"/>
              </w:rPr>
              <w:t>α</w:t>
            </w:r>
          </w:p>
        </w:tc>
        <w:tc>
          <w:tcPr>
            <w:tcW w:w="1684" w:type="dxa"/>
            <w:tcBorders>
              <w:top w:val="nil"/>
              <w:left w:val="nil"/>
              <w:bottom w:val="single" w:sz="4" w:space="0" w:color="1F3864" w:themeColor="accent1" w:themeShade="80"/>
              <w:right w:val="nil"/>
            </w:tcBorders>
            <w:vAlign w:val="center"/>
          </w:tcPr>
          <w:p w14:paraId="60FD6260" w14:textId="77777777" w:rsidR="00EA1A96" w:rsidRPr="0079161C" w:rsidRDefault="00EA1A96" w:rsidP="00EA1A96">
            <w:pPr>
              <w:jc w:val="center"/>
              <w:rPr>
                <w:rFonts w:ascii="Calibri" w:eastAsia="Times New Roman" w:hAnsi="Calibri" w:cs="Calibri"/>
                <w:color w:val="243587"/>
                <w:sz w:val="22"/>
                <w:szCs w:val="22"/>
                <w:lang w:eastAsia="el-GR"/>
              </w:rPr>
            </w:pPr>
            <w:r w:rsidRPr="002D5E41">
              <w:rPr>
                <w:rFonts w:ascii="Calibri" w:eastAsia="Times New Roman" w:hAnsi="Calibri" w:cs="Calibri"/>
                <w:color w:val="243587"/>
                <w:sz w:val="22"/>
                <w:szCs w:val="22"/>
                <w:lang w:eastAsia="el-GR"/>
              </w:rPr>
              <w:t>289,2</w:t>
            </w:r>
          </w:p>
        </w:tc>
        <w:tc>
          <w:tcPr>
            <w:tcW w:w="2067"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73B3E204" w14:textId="27497C4A" w:rsidR="00EA1A96" w:rsidRPr="002D5E41"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280,3</w:t>
            </w:r>
          </w:p>
        </w:tc>
      </w:tr>
      <w:tr w:rsidR="00EA1A96" w:rsidRPr="001526FF" w14:paraId="5FFECE5F" w14:textId="77777777" w:rsidTr="00F806F0">
        <w:trPr>
          <w:trHeight w:val="269"/>
        </w:trPr>
        <w:tc>
          <w:tcPr>
            <w:tcW w:w="6455"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36D4D1EF" w14:textId="77777777" w:rsidR="00EA1A96" w:rsidRPr="002A6638" w:rsidRDefault="00EA1A96" w:rsidP="00EA1A96">
            <w:pPr>
              <w:rPr>
                <w:rFonts w:cstheme="minorHAnsi"/>
                <w:b/>
                <w:bCs/>
                <w:color w:val="243587"/>
                <w:sz w:val="22"/>
                <w:szCs w:val="22"/>
                <w:lang w:val="el-GR"/>
              </w:rPr>
            </w:pPr>
            <w:r>
              <w:rPr>
                <w:rFonts w:cstheme="minorHAnsi"/>
                <w:b/>
                <w:bCs/>
                <w:color w:val="243587"/>
                <w:sz w:val="22"/>
                <w:szCs w:val="22"/>
                <w:lang w:val="el-GR"/>
              </w:rPr>
              <w:t>Σύνολο Περιουσιακών Στοιχείων</w:t>
            </w:r>
          </w:p>
        </w:tc>
        <w:tc>
          <w:tcPr>
            <w:tcW w:w="1684" w:type="dxa"/>
            <w:tcBorders>
              <w:top w:val="single" w:sz="4" w:space="0" w:color="1F3864" w:themeColor="accent1" w:themeShade="80"/>
              <w:left w:val="nil"/>
              <w:bottom w:val="single" w:sz="4" w:space="0" w:color="1F3864" w:themeColor="accent1" w:themeShade="80"/>
              <w:right w:val="nil"/>
            </w:tcBorders>
            <w:vAlign w:val="center"/>
          </w:tcPr>
          <w:p w14:paraId="1D86A1EE" w14:textId="77777777" w:rsidR="00EA1A96" w:rsidRPr="0079161C" w:rsidRDefault="00EA1A96" w:rsidP="00EA1A96">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2.020,4</w:t>
            </w:r>
          </w:p>
        </w:tc>
        <w:tc>
          <w:tcPr>
            <w:tcW w:w="2067"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50FEF4B6" w14:textId="1D239D9B" w:rsidR="00EA1A96" w:rsidRPr="0079161C"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2.190,5</w:t>
            </w:r>
          </w:p>
        </w:tc>
      </w:tr>
      <w:tr w:rsidR="00EA1A96" w:rsidRPr="001526FF" w14:paraId="0A9ECD03" w14:textId="77777777" w:rsidTr="00F806F0">
        <w:trPr>
          <w:trHeight w:val="276"/>
        </w:trPr>
        <w:tc>
          <w:tcPr>
            <w:tcW w:w="6455"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4D3FEDB3" w14:textId="77777777" w:rsidR="00EA1A96" w:rsidRPr="008916D0" w:rsidRDefault="00EA1A96" w:rsidP="00EA1A96">
            <w:pPr>
              <w:rPr>
                <w:rFonts w:cstheme="minorHAnsi"/>
                <w:color w:val="243587"/>
                <w:sz w:val="22"/>
                <w:szCs w:val="22"/>
              </w:rPr>
            </w:pPr>
            <w:proofErr w:type="spellStart"/>
            <w:r w:rsidRPr="008916D0">
              <w:rPr>
                <w:rFonts w:cstheme="minorHAnsi"/>
                <w:color w:val="243587"/>
                <w:sz w:val="22"/>
                <w:szCs w:val="22"/>
              </w:rPr>
              <w:t>Σύνολο</w:t>
            </w:r>
            <w:proofErr w:type="spellEnd"/>
            <w:r w:rsidRPr="008916D0">
              <w:rPr>
                <w:rFonts w:cstheme="minorHAnsi"/>
                <w:color w:val="243587"/>
                <w:sz w:val="22"/>
                <w:szCs w:val="22"/>
              </w:rPr>
              <w:t xml:space="preserve"> </w:t>
            </w:r>
            <w:proofErr w:type="spellStart"/>
            <w:r w:rsidRPr="008916D0">
              <w:rPr>
                <w:rFonts w:cstheme="minorHAnsi"/>
                <w:color w:val="243587"/>
                <w:sz w:val="22"/>
                <w:szCs w:val="22"/>
              </w:rPr>
              <w:t>Ιδ</w:t>
            </w:r>
            <w:proofErr w:type="spellEnd"/>
            <w:r>
              <w:rPr>
                <w:rFonts w:cstheme="minorHAnsi"/>
                <w:color w:val="243587"/>
                <w:sz w:val="22"/>
                <w:szCs w:val="22"/>
                <w:lang w:val="el-GR"/>
              </w:rPr>
              <w:t>ίων</w:t>
            </w:r>
            <w:r w:rsidRPr="008916D0">
              <w:rPr>
                <w:rFonts w:cstheme="minorHAnsi"/>
                <w:color w:val="243587"/>
                <w:sz w:val="22"/>
                <w:szCs w:val="22"/>
              </w:rPr>
              <w:t xml:space="preserve"> </w:t>
            </w:r>
            <w:proofErr w:type="spellStart"/>
            <w:r w:rsidRPr="008916D0">
              <w:rPr>
                <w:rFonts w:cstheme="minorHAnsi"/>
                <w:color w:val="243587"/>
                <w:sz w:val="22"/>
                <w:szCs w:val="22"/>
              </w:rPr>
              <w:t>Κεφ</w:t>
            </w:r>
            <w:proofErr w:type="spellEnd"/>
            <w:r w:rsidRPr="008916D0">
              <w:rPr>
                <w:rFonts w:cstheme="minorHAnsi"/>
                <w:color w:val="243587"/>
                <w:sz w:val="22"/>
                <w:szCs w:val="22"/>
              </w:rPr>
              <w:t>αλαίων</w:t>
            </w:r>
          </w:p>
        </w:tc>
        <w:tc>
          <w:tcPr>
            <w:tcW w:w="1684" w:type="dxa"/>
            <w:tcBorders>
              <w:top w:val="single" w:sz="4" w:space="0" w:color="1F3864" w:themeColor="accent1" w:themeShade="80"/>
              <w:left w:val="nil"/>
              <w:bottom w:val="nil"/>
              <w:right w:val="nil"/>
            </w:tcBorders>
            <w:vAlign w:val="center"/>
          </w:tcPr>
          <w:p w14:paraId="288EC80B" w14:textId="77777777" w:rsidR="00EA1A96" w:rsidRPr="0079161C" w:rsidRDefault="00EA1A96" w:rsidP="00EA1A96">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348,1</w:t>
            </w:r>
          </w:p>
        </w:tc>
        <w:tc>
          <w:tcPr>
            <w:tcW w:w="2067" w:type="dxa"/>
            <w:tcBorders>
              <w:top w:val="single" w:sz="4" w:space="0" w:color="1F3864" w:themeColor="accent1" w:themeShade="80"/>
              <w:left w:val="nil"/>
              <w:bottom w:val="nil"/>
              <w:right w:val="nil"/>
            </w:tcBorders>
            <w:shd w:val="clear" w:color="auto" w:fill="F0F3FA"/>
            <w:tcMar>
              <w:top w:w="13" w:type="dxa"/>
              <w:left w:w="13" w:type="dxa"/>
              <w:bottom w:w="0" w:type="dxa"/>
              <w:right w:w="13" w:type="dxa"/>
            </w:tcMar>
            <w:vAlign w:val="center"/>
          </w:tcPr>
          <w:p w14:paraId="089D0393" w14:textId="1E9268AC" w:rsidR="00EA1A96" w:rsidRPr="0079161C"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312,6</w:t>
            </w:r>
          </w:p>
        </w:tc>
      </w:tr>
      <w:tr w:rsidR="00EA1A96" w:rsidRPr="00814BFE" w14:paraId="48387F68" w14:textId="77777777" w:rsidTr="00F806F0">
        <w:trPr>
          <w:trHeight w:val="283"/>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092B9ED2" w14:textId="77777777" w:rsidR="00EA1A96" w:rsidRPr="008916D0" w:rsidRDefault="00EA1A96" w:rsidP="00EA1A96">
            <w:pPr>
              <w:rPr>
                <w:rFonts w:cstheme="minorHAnsi"/>
                <w:color w:val="243587"/>
                <w:sz w:val="22"/>
                <w:szCs w:val="22"/>
              </w:rPr>
            </w:pPr>
            <w:r w:rsidRPr="008916D0">
              <w:rPr>
                <w:rFonts w:cstheme="minorHAnsi"/>
                <w:color w:val="243587"/>
                <w:sz w:val="22"/>
                <w:szCs w:val="22"/>
              </w:rPr>
              <w:t>Υπ</w:t>
            </w:r>
            <w:proofErr w:type="spellStart"/>
            <w:r w:rsidRPr="008916D0">
              <w:rPr>
                <w:rFonts w:cstheme="minorHAnsi"/>
                <w:color w:val="243587"/>
                <w:sz w:val="22"/>
                <w:szCs w:val="22"/>
              </w:rPr>
              <w:t>οχρεώσεις</w:t>
            </w:r>
            <w:proofErr w:type="spellEnd"/>
            <w:r w:rsidRPr="008916D0">
              <w:rPr>
                <w:rFonts w:cstheme="minorHAnsi"/>
                <w:color w:val="243587"/>
                <w:sz w:val="22"/>
                <w:szCs w:val="22"/>
              </w:rPr>
              <w:t xml:space="preserve"> από </w:t>
            </w:r>
            <w:proofErr w:type="spellStart"/>
            <w:r w:rsidRPr="008916D0">
              <w:rPr>
                <w:rFonts w:cstheme="minorHAnsi"/>
                <w:color w:val="243587"/>
                <w:sz w:val="22"/>
                <w:szCs w:val="22"/>
              </w:rPr>
              <w:t>μισθώσεις</w:t>
            </w:r>
            <w:proofErr w:type="spellEnd"/>
          </w:p>
        </w:tc>
        <w:tc>
          <w:tcPr>
            <w:tcW w:w="1684" w:type="dxa"/>
            <w:tcBorders>
              <w:top w:val="nil"/>
              <w:left w:val="nil"/>
              <w:bottom w:val="nil"/>
              <w:right w:val="nil"/>
            </w:tcBorders>
            <w:vAlign w:val="center"/>
          </w:tcPr>
          <w:p w14:paraId="697890A4" w14:textId="77777777" w:rsidR="00EA1A96" w:rsidRPr="0079161C" w:rsidRDefault="00EA1A96" w:rsidP="00EA1A96">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737,3</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5151BFD0" w14:textId="60333123" w:rsidR="00EA1A96" w:rsidRPr="0079161C"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812,6</w:t>
            </w:r>
          </w:p>
        </w:tc>
      </w:tr>
      <w:tr w:rsidR="00EA1A96" w:rsidRPr="001526FF" w14:paraId="23A54212" w14:textId="77777777" w:rsidTr="00F806F0">
        <w:trPr>
          <w:trHeight w:val="272"/>
        </w:trPr>
        <w:tc>
          <w:tcPr>
            <w:tcW w:w="6455" w:type="dxa"/>
            <w:tcBorders>
              <w:top w:val="nil"/>
              <w:left w:val="nil"/>
              <w:bottom w:val="nil"/>
              <w:right w:val="nil"/>
            </w:tcBorders>
            <w:shd w:val="clear" w:color="auto" w:fill="auto"/>
            <w:tcMar>
              <w:top w:w="13" w:type="dxa"/>
              <w:left w:w="97" w:type="dxa"/>
              <w:bottom w:w="0" w:type="dxa"/>
              <w:right w:w="97" w:type="dxa"/>
            </w:tcMar>
            <w:vAlign w:val="center"/>
          </w:tcPr>
          <w:p w14:paraId="3A7C8163" w14:textId="77777777" w:rsidR="00EA1A96" w:rsidRPr="008916D0" w:rsidRDefault="00EA1A96" w:rsidP="00EA1A96">
            <w:pPr>
              <w:rPr>
                <w:rFonts w:cstheme="minorHAnsi"/>
                <w:color w:val="243587"/>
                <w:sz w:val="22"/>
                <w:szCs w:val="22"/>
              </w:rPr>
            </w:pPr>
            <w:r w:rsidRPr="008916D0">
              <w:rPr>
                <w:rFonts w:cstheme="minorHAnsi"/>
                <w:color w:val="243587"/>
                <w:sz w:val="22"/>
                <w:szCs w:val="22"/>
              </w:rPr>
              <w:t>Δα</w:t>
            </w:r>
            <w:proofErr w:type="spellStart"/>
            <w:r w:rsidRPr="008916D0">
              <w:rPr>
                <w:rFonts w:cstheme="minorHAnsi"/>
                <w:color w:val="243587"/>
                <w:sz w:val="22"/>
                <w:szCs w:val="22"/>
              </w:rPr>
              <w:t>νει</w:t>
            </w:r>
            <w:proofErr w:type="spellEnd"/>
            <w:r w:rsidRPr="008916D0">
              <w:rPr>
                <w:rFonts w:cstheme="minorHAnsi"/>
                <w:color w:val="243587"/>
                <w:sz w:val="22"/>
                <w:szCs w:val="22"/>
              </w:rPr>
              <w:t>ακές υπ</w:t>
            </w:r>
            <w:proofErr w:type="spellStart"/>
            <w:r w:rsidRPr="008916D0">
              <w:rPr>
                <w:rFonts w:cstheme="minorHAnsi"/>
                <w:color w:val="243587"/>
                <w:sz w:val="22"/>
                <w:szCs w:val="22"/>
              </w:rPr>
              <w:t>οχρεώσεις</w:t>
            </w:r>
            <w:proofErr w:type="spellEnd"/>
            <w:r w:rsidRPr="008916D0">
              <w:rPr>
                <w:rFonts w:cstheme="minorHAnsi"/>
                <w:color w:val="243587"/>
                <w:sz w:val="22"/>
                <w:szCs w:val="22"/>
              </w:rPr>
              <w:t xml:space="preserve"> </w:t>
            </w:r>
          </w:p>
        </w:tc>
        <w:tc>
          <w:tcPr>
            <w:tcW w:w="1684" w:type="dxa"/>
            <w:tcBorders>
              <w:top w:val="nil"/>
              <w:left w:val="nil"/>
              <w:bottom w:val="nil"/>
              <w:right w:val="nil"/>
            </w:tcBorders>
            <w:vAlign w:val="center"/>
          </w:tcPr>
          <w:p w14:paraId="557C8D2D" w14:textId="77777777" w:rsidR="00EA1A96" w:rsidRPr="0079161C" w:rsidRDefault="00EA1A96" w:rsidP="00EA1A96">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268,2</w:t>
            </w:r>
          </w:p>
        </w:tc>
        <w:tc>
          <w:tcPr>
            <w:tcW w:w="2067" w:type="dxa"/>
            <w:tcBorders>
              <w:top w:val="nil"/>
              <w:left w:val="nil"/>
              <w:bottom w:val="nil"/>
              <w:right w:val="nil"/>
            </w:tcBorders>
            <w:shd w:val="clear" w:color="auto" w:fill="F0F3FA"/>
            <w:tcMar>
              <w:top w:w="13" w:type="dxa"/>
              <w:left w:w="13" w:type="dxa"/>
              <w:bottom w:w="0" w:type="dxa"/>
              <w:right w:w="13" w:type="dxa"/>
            </w:tcMar>
            <w:vAlign w:val="center"/>
          </w:tcPr>
          <w:p w14:paraId="2640EBDD" w14:textId="065D9F53" w:rsidR="00EA1A96" w:rsidRPr="0079161C"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197,7</w:t>
            </w:r>
          </w:p>
        </w:tc>
      </w:tr>
      <w:tr w:rsidR="00EA1A96" w:rsidRPr="001526FF" w14:paraId="6DD1E935" w14:textId="77777777" w:rsidTr="00F806F0">
        <w:trPr>
          <w:trHeight w:val="245"/>
        </w:trPr>
        <w:tc>
          <w:tcPr>
            <w:tcW w:w="645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5E47CA4" w14:textId="77777777" w:rsidR="00EA1A96" w:rsidRPr="007D16A4" w:rsidRDefault="00EA1A96" w:rsidP="00EA1A96">
            <w:pPr>
              <w:rPr>
                <w:rFonts w:cstheme="minorHAnsi"/>
                <w:color w:val="243587"/>
                <w:sz w:val="22"/>
                <w:szCs w:val="22"/>
                <w:lang w:val="el-GR"/>
              </w:rPr>
            </w:pPr>
            <w:r w:rsidRPr="007D16A4">
              <w:rPr>
                <w:rFonts w:cstheme="minorHAnsi"/>
                <w:color w:val="243587"/>
                <w:sz w:val="22"/>
                <w:szCs w:val="22"/>
                <w:lang w:val="el-GR"/>
              </w:rPr>
              <w:t>Λοιπές μακροπρόθεσμες και βραχυπρόθεσμες υποχρεώσεις</w:t>
            </w:r>
          </w:p>
        </w:tc>
        <w:tc>
          <w:tcPr>
            <w:tcW w:w="1684" w:type="dxa"/>
            <w:tcBorders>
              <w:top w:val="nil"/>
              <w:left w:val="nil"/>
              <w:bottom w:val="single" w:sz="4" w:space="0" w:color="1F3864" w:themeColor="accent1" w:themeShade="80"/>
              <w:right w:val="nil"/>
            </w:tcBorders>
            <w:vAlign w:val="center"/>
          </w:tcPr>
          <w:p w14:paraId="798E59B8" w14:textId="77777777" w:rsidR="00EA1A96" w:rsidRPr="0079161C" w:rsidRDefault="00EA1A96" w:rsidP="00EA1A96">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666,8</w:t>
            </w:r>
          </w:p>
        </w:tc>
        <w:tc>
          <w:tcPr>
            <w:tcW w:w="2067"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6514E63F" w14:textId="6F3AAAB1" w:rsidR="00EA1A96" w:rsidRPr="0079161C"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867,6</w:t>
            </w:r>
          </w:p>
        </w:tc>
      </w:tr>
      <w:tr w:rsidR="00EA1A96" w:rsidRPr="001526FF" w14:paraId="29DEFD83" w14:textId="77777777" w:rsidTr="00F806F0">
        <w:trPr>
          <w:trHeight w:val="263"/>
        </w:trPr>
        <w:tc>
          <w:tcPr>
            <w:tcW w:w="6455"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8EC8CCB" w14:textId="77777777" w:rsidR="00EA1A96" w:rsidRPr="002A6638" w:rsidRDefault="00EA1A96" w:rsidP="00EA1A96">
            <w:pPr>
              <w:rPr>
                <w:rFonts w:cstheme="minorHAnsi"/>
                <w:b/>
                <w:bCs/>
                <w:color w:val="243587"/>
                <w:sz w:val="22"/>
                <w:szCs w:val="22"/>
                <w:lang w:val="el-GR"/>
              </w:rPr>
            </w:pPr>
            <w:r>
              <w:rPr>
                <w:rFonts w:cstheme="minorHAnsi"/>
                <w:b/>
                <w:bCs/>
                <w:color w:val="243587"/>
                <w:sz w:val="22"/>
                <w:szCs w:val="22"/>
                <w:lang w:val="el-GR"/>
              </w:rPr>
              <w:t>Σύνολο Ιδίων Κεφαλαίων και Υποχρεώσεων</w:t>
            </w:r>
          </w:p>
        </w:tc>
        <w:tc>
          <w:tcPr>
            <w:tcW w:w="1684" w:type="dxa"/>
            <w:tcBorders>
              <w:top w:val="single" w:sz="4" w:space="0" w:color="1F3864" w:themeColor="accent1" w:themeShade="80"/>
              <w:left w:val="nil"/>
              <w:bottom w:val="single" w:sz="4" w:space="0" w:color="1F3864" w:themeColor="accent1" w:themeShade="80"/>
              <w:right w:val="nil"/>
            </w:tcBorders>
            <w:vAlign w:val="center"/>
          </w:tcPr>
          <w:p w14:paraId="15E20903" w14:textId="77777777" w:rsidR="00EA1A96" w:rsidRPr="0079161C" w:rsidRDefault="00EA1A96" w:rsidP="00EA1A96">
            <w:pPr>
              <w:jc w:val="center"/>
              <w:rPr>
                <w:rFonts w:ascii="Calibri" w:eastAsia="Times New Roman" w:hAnsi="Calibri" w:cs="Calibri"/>
                <w:color w:val="243587"/>
                <w:sz w:val="22"/>
                <w:szCs w:val="22"/>
                <w:lang w:eastAsia="el-GR"/>
              </w:rPr>
            </w:pPr>
            <w:r w:rsidRPr="00196EFF">
              <w:rPr>
                <w:rFonts w:ascii="Calibri" w:eastAsia="Times New Roman" w:hAnsi="Calibri" w:cs="Calibri"/>
                <w:color w:val="243587"/>
                <w:sz w:val="22"/>
                <w:szCs w:val="22"/>
                <w:lang w:eastAsia="el-GR"/>
              </w:rPr>
              <w:t>2.020,4</w:t>
            </w:r>
          </w:p>
        </w:tc>
        <w:tc>
          <w:tcPr>
            <w:tcW w:w="2067"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center"/>
          </w:tcPr>
          <w:p w14:paraId="1B807396" w14:textId="4C17867A" w:rsidR="00EA1A96" w:rsidRPr="0079161C" w:rsidRDefault="00EA1A96" w:rsidP="00EA1A96">
            <w:pPr>
              <w:jc w:val="center"/>
              <w:rPr>
                <w:rFonts w:ascii="Calibri" w:eastAsia="Times New Roman" w:hAnsi="Calibri" w:cs="Calibri"/>
                <w:color w:val="243587"/>
                <w:sz w:val="22"/>
                <w:szCs w:val="22"/>
                <w:lang w:eastAsia="el-GR"/>
              </w:rPr>
            </w:pPr>
            <w:r w:rsidRPr="00EA1A96">
              <w:rPr>
                <w:rFonts w:ascii="Calibri" w:eastAsia="Times New Roman" w:hAnsi="Calibri" w:cs="Calibri"/>
                <w:color w:val="243587"/>
                <w:sz w:val="22"/>
                <w:szCs w:val="22"/>
                <w:lang w:eastAsia="el-GR"/>
              </w:rPr>
              <w:t>2.190,5</w:t>
            </w:r>
          </w:p>
        </w:tc>
      </w:tr>
    </w:tbl>
    <w:p w14:paraId="6AB05105" w14:textId="77777777" w:rsidR="00645A95" w:rsidRPr="00791C56" w:rsidRDefault="00645A95" w:rsidP="00645A95">
      <w:pPr>
        <w:jc w:val="both"/>
        <w:rPr>
          <w:rFonts w:cstheme="minorHAnsi"/>
          <w:color w:val="243587"/>
          <w:sz w:val="14"/>
          <w:szCs w:val="14"/>
        </w:rPr>
      </w:pPr>
    </w:p>
    <w:p w14:paraId="09212322" w14:textId="5EFEE9EA" w:rsidR="00645A95" w:rsidRPr="00001381" w:rsidRDefault="002A6638" w:rsidP="00645A95">
      <w:pPr>
        <w:jc w:val="both"/>
        <w:rPr>
          <w:rFonts w:cstheme="minorHAnsi"/>
          <w:color w:val="243587"/>
          <w:sz w:val="20"/>
          <w:szCs w:val="20"/>
          <w:lang w:val="el-GR"/>
        </w:rPr>
      </w:pPr>
      <w:r w:rsidRPr="00001381">
        <w:rPr>
          <w:rFonts w:cstheme="minorHAnsi"/>
          <w:color w:val="243587"/>
          <w:sz w:val="20"/>
          <w:szCs w:val="20"/>
          <w:lang w:val="el-GR"/>
        </w:rPr>
        <w:t>Σημείωση</w:t>
      </w:r>
      <w:r w:rsidR="00645A95" w:rsidRPr="00001381">
        <w:rPr>
          <w:rFonts w:cstheme="minorHAnsi"/>
          <w:color w:val="243587"/>
          <w:sz w:val="20"/>
          <w:szCs w:val="20"/>
          <w:lang w:val="el-GR"/>
        </w:rPr>
        <w:t xml:space="preserve">: </w:t>
      </w:r>
      <w:r w:rsidR="00645A95" w:rsidRPr="00001381">
        <w:rPr>
          <w:rFonts w:cstheme="minorHAnsi"/>
          <w:color w:val="243587"/>
          <w:sz w:val="20"/>
          <w:szCs w:val="20"/>
          <w:lang w:val="el-GR"/>
        </w:rPr>
        <w:br/>
      </w:r>
      <w:r w:rsidR="00645A95" w:rsidRPr="00001381">
        <w:rPr>
          <w:rFonts w:cstheme="minorHAnsi"/>
          <w:color w:val="243587"/>
          <w:sz w:val="20"/>
          <w:szCs w:val="20"/>
          <w:vertAlign w:val="superscript"/>
          <w:lang w:val="el-GR"/>
        </w:rPr>
        <w:t>1.</w:t>
      </w:r>
      <w:r w:rsidR="00645A95" w:rsidRPr="00001381">
        <w:rPr>
          <w:rFonts w:cstheme="minorHAnsi"/>
          <w:color w:val="243587"/>
          <w:sz w:val="20"/>
          <w:szCs w:val="20"/>
          <w:lang w:val="el-GR"/>
        </w:rPr>
        <w:t xml:space="preserve"> </w:t>
      </w:r>
      <w:r w:rsidRPr="00001381">
        <w:rPr>
          <w:rFonts w:cstheme="minorHAnsi"/>
          <w:color w:val="243587"/>
          <w:sz w:val="20"/>
          <w:szCs w:val="20"/>
          <w:lang w:val="el-GR"/>
        </w:rPr>
        <w:t xml:space="preserve">Περιλαμβάνει </w:t>
      </w:r>
      <w:r w:rsidR="00814BFE" w:rsidRPr="00001381">
        <w:rPr>
          <w:rFonts w:cstheme="minorHAnsi"/>
          <w:color w:val="243587"/>
          <w:sz w:val="20"/>
          <w:szCs w:val="20"/>
          <w:lang w:val="el-GR"/>
        </w:rPr>
        <w:t xml:space="preserve">δεσμευμένες καταθέσεις ποσού €12,6 εκατ. στις 31/03/2023 και </w:t>
      </w:r>
      <w:r w:rsidR="008916D0" w:rsidRPr="00001381">
        <w:rPr>
          <w:rFonts w:cstheme="minorHAnsi"/>
          <w:color w:val="243587"/>
          <w:sz w:val="20"/>
          <w:szCs w:val="20"/>
          <w:lang w:val="el-GR"/>
        </w:rPr>
        <w:t>δεσμευμένες καταθέσεις ποσού</w:t>
      </w:r>
      <w:r w:rsidR="00645A95" w:rsidRPr="00001381">
        <w:rPr>
          <w:rFonts w:cstheme="minorHAnsi"/>
          <w:color w:val="243587"/>
          <w:sz w:val="20"/>
          <w:szCs w:val="20"/>
          <w:lang w:val="el-GR"/>
        </w:rPr>
        <w:t xml:space="preserve"> €1,4 </w:t>
      </w:r>
      <w:r w:rsidR="008916D0" w:rsidRPr="00001381">
        <w:rPr>
          <w:rFonts w:cstheme="minorHAnsi"/>
          <w:color w:val="243587"/>
          <w:sz w:val="20"/>
          <w:szCs w:val="20"/>
          <w:lang w:val="el-GR"/>
        </w:rPr>
        <w:t>εκατ. στις</w:t>
      </w:r>
      <w:r w:rsidR="00645A95" w:rsidRPr="00001381">
        <w:rPr>
          <w:rFonts w:cstheme="minorHAnsi"/>
          <w:color w:val="243587"/>
          <w:sz w:val="20"/>
          <w:szCs w:val="20"/>
          <w:lang w:val="el-GR"/>
        </w:rPr>
        <w:t xml:space="preserve"> 31/12/2022</w:t>
      </w:r>
      <w:r w:rsidR="00814BFE" w:rsidRPr="00001381">
        <w:rPr>
          <w:rFonts w:cstheme="minorHAnsi"/>
          <w:color w:val="243587"/>
          <w:sz w:val="20"/>
          <w:szCs w:val="20"/>
          <w:lang w:val="el-GR"/>
        </w:rPr>
        <w:t>.</w:t>
      </w:r>
    </w:p>
    <w:p w14:paraId="574D7B8F" w14:textId="378DE336" w:rsidR="00645A95" w:rsidRPr="008916D0" w:rsidRDefault="00645A95" w:rsidP="00645A95">
      <w:pPr>
        <w:jc w:val="both"/>
        <w:rPr>
          <w:rFonts w:cstheme="minorHAnsi"/>
          <w:color w:val="243587"/>
          <w:sz w:val="20"/>
          <w:szCs w:val="20"/>
          <w:vertAlign w:val="superscript"/>
          <w:lang w:val="el-GR"/>
        </w:rPr>
      </w:pPr>
      <w:r w:rsidRPr="00001381">
        <w:rPr>
          <w:rFonts w:cstheme="minorHAnsi"/>
          <w:color w:val="243587"/>
          <w:sz w:val="20"/>
          <w:szCs w:val="20"/>
          <w:vertAlign w:val="superscript"/>
          <w:lang w:val="el-GR"/>
        </w:rPr>
        <w:t>2.</w:t>
      </w:r>
      <w:r w:rsidRPr="00001381">
        <w:rPr>
          <w:rFonts w:cstheme="minorHAnsi"/>
          <w:color w:val="243587"/>
          <w:sz w:val="20"/>
          <w:szCs w:val="20"/>
          <w:lang w:val="el-GR"/>
        </w:rPr>
        <w:t xml:space="preserve"> </w:t>
      </w:r>
      <w:r w:rsidR="008916D0" w:rsidRPr="00001381">
        <w:rPr>
          <w:rFonts w:cstheme="minorHAnsi"/>
          <w:color w:val="243587"/>
          <w:sz w:val="20"/>
          <w:szCs w:val="20"/>
          <w:lang w:val="el-GR"/>
        </w:rPr>
        <w:t xml:space="preserve">Περιλαμβάνει </w:t>
      </w:r>
      <w:r w:rsidR="00055167" w:rsidRPr="00001381">
        <w:rPr>
          <w:rFonts w:cstheme="minorHAnsi"/>
          <w:color w:val="243587"/>
          <w:sz w:val="20"/>
          <w:szCs w:val="20"/>
          <w:lang w:val="el-GR"/>
        </w:rPr>
        <w:t>ενεχυριασμένα Ομόλογα</w:t>
      </w:r>
      <w:r w:rsidR="00814BFE" w:rsidRPr="00001381">
        <w:rPr>
          <w:rFonts w:cstheme="minorHAnsi"/>
          <w:color w:val="243587"/>
          <w:sz w:val="20"/>
          <w:szCs w:val="20"/>
          <w:lang w:val="el-GR"/>
        </w:rPr>
        <w:t xml:space="preserve"> €</w:t>
      </w:r>
      <w:r w:rsidR="00EA1A96" w:rsidRPr="00001381">
        <w:rPr>
          <w:rFonts w:cstheme="minorHAnsi"/>
          <w:color w:val="243587"/>
          <w:sz w:val="20"/>
          <w:szCs w:val="20"/>
          <w:lang w:val="el-GR"/>
        </w:rPr>
        <w:t>10</w:t>
      </w:r>
      <w:r w:rsidR="00814BFE" w:rsidRPr="00001381">
        <w:rPr>
          <w:rFonts w:cstheme="minorHAnsi"/>
          <w:color w:val="243587"/>
          <w:sz w:val="20"/>
          <w:szCs w:val="20"/>
          <w:lang w:val="el-GR"/>
        </w:rPr>
        <w:t xml:space="preserve">,4 εκατ. </w:t>
      </w:r>
      <w:r w:rsidR="005C1742" w:rsidRPr="00001381">
        <w:rPr>
          <w:rFonts w:cstheme="minorHAnsi"/>
          <w:color w:val="243587"/>
          <w:sz w:val="20"/>
          <w:szCs w:val="20"/>
          <w:lang w:val="el-GR"/>
        </w:rPr>
        <w:t xml:space="preserve">στις </w:t>
      </w:r>
      <w:r w:rsidR="00814BFE" w:rsidRPr="00001381">
        <w:rPr>
          <w:rFonts w:cstheme="minorHAnsi"/>
          <w:color w:val="243587"/>
          <w:sz w:val="20"/>
          <w:szCs w:val="20"/>
          <w:lang w:val="el-GR"/>
        </w:rPr>
        <w:t xml:space="preserve">31/03/2023 και </w:t>
      </w:r>
      <w:r w:rsidRPr="00001381">
        <w:rPr>
          <w:rFonts w:cstheme="minorHAnsi"/>
          <w:color w:val="243587"/>
          <w:sz w:val="20"/>
          <w:szCs w:val="20"/>
          <w:lang w:val="el-GR"/>
        </w:rPr>
        <w:t>€10,</w:t>
      </w:r>
      <w:r w:rsidR="00055167" w:rsidRPr="00001381">
        <w:rPr>
          <w:rFonts w:cstheme="minorHAnsi"/>
          <w:color w:val="243587"/>
          <w:sz w:val="20"/>
          <w:szCs w:val="20"/>
          <w:lang w:val="el-GR"/>
        </w:rPr>
        <w:t>4</w:t>
      </w:r>
      <w:r w:rsidRPr="00001381">
        <w:rPr>
          <w:rFonts w:cstheme="minorHAnsi"/>
          <w:color w:val="243587"/>
          <w:sz w:val="20"/>
          <w:szCs w:val="20"/>
          <w:lang w:val="el-GR"/>
        </w:rPr>
        <w:t xml:space="preserve"> </w:t>
      </w:r>
      <w:r w:rsidR="008916D0" w:rsidRPr="00001381">
        <w:rPr>
          <w:rFonts w:cstheme="minorHAnsi"/>
          <w:color w:val="243587"/>
          <w:sz w:val="20"/>
          <w:szCs w:val="20"/>
          <w:lang w:val="el-GR"/>
        </w:rPr>
        <w:t>εκατ</w:t>
      </w:r>
      <w:r w:rsidRPr="00001381">
        <w:rPr>
          <w:rFonts w:cstheme="minorHAnsi"/>
          <w:color w:val="243587"/>
          <w:sz w:val="20"/>
          <w:szCs w:val="20"/>
          <w:lang w:val="el-GR"/>
        </w:rPr>
        <w:t xml:space="preserve">. </w:t>
      </w:r>
      <w:r w:rsidR="008916D0" w:rsidRPr="00001381">
        <w:rPr>
          <w:rFonts w:cstheme="minorHAnsi"/>
          <w:color w:val="243587"/>
          <w:sz w:val="20"/>
          <w:szCs w:val="20"/>
          <w:lang w:val="el-GR"/>
        </w:rPr>
        <w:t xml:space="preserve">στις </w:t>
      </w:r>
      <w:r w:rsidRPr="00001381">
        <w:rPr>
          <w:rFonts w:cstheme="minorHAnsi"/>
          <w:color w:val="243587"/>
          <w:sz w:val="20"/>
          <w:szCs w:val="20"/>
          <w:lang w:val="el-GR"/>
        </w:rPr>
        <w:t>31/12/2022</w:t>
      </w:r>
      <w:r w:rsidR="00055167" w:rsidRPr="00001381">
        <w:rPr>
          <w:rFonts w:cstheme="minorHAnsi"/>
          <w:color w:val="243587"/>
          <w:sz w:val="20"/>
          <w:szCs w:val="20"/>
          <w:lang w:val="el-GR"/>
        </w:rPr>
        <w:t>.</w:t>
      </w:r>
    </w:p>
    <w:p w14:paraId="5289FD3B" w14:textId="77777777" w:rsidR="00645A95" w:rsidRPr="008916D0" w:rsidRDefault="00645A95" w:rsidP="00645A95">
      <w:pPr>
        <w:spacing w:after="120"/>
        <w:jc w:val="both"/>
        <w:rPr>
          <w:rFonts w:cstheme="minorHAnsi"/>
          <w:b/>
          <w:bCs/>
          <w:color w:val="243587"/>
          <w:sz w:val="22"/>
          <w:szCs w:val="22"/>
          <w:lang w:val="el-GR"/>
        </w:rPr>
      </w:pPr>
    </w:p>
    <w:p w14:paraId="1DB80613" w14:textId="77777777" w:rsidR="00645A95" w:rsidRPr="008916D0" w:rsidRDefault="008916D0" w:rsidP="00645A95">
      <w:pPr>
        <w:spacing w:after="120"/>
        <w:jc w:val="both"/>
        <w:rPr>
          <w:rFonts w:cstheme="minorHAnsi"/>
          <w:b/>
          <w:bCs/>
          <w:color w:val="243587"/>
          <w:sz w:val="22"/>
          <w:szCs w:val="22"/>
          <w:lang w:val="el-GR"/>
        </w:rPr>
      </w:pPr>
      <w:r>
        <w:rPr>
          <w:rFonts w:cstheme="minorHAnsi"/>
          <w:b/>
          <w:bCs/>
          <w:color w:val="243587"/>
          <w:sz w:val="22"/>
          <w:szCs w:val="22"/>
          <w:lang w:val="el-GR"/>
        </w:rPr>
        <w:t>Συνοπτική Ενοποιημένη Κατάσταση Ταμειακών Ροών</w:t>
      </w:r>
    </w:p>
    <w:tbl>
      <w:tblPr>
        <w:tblW w:w="10272" w:type="dxa"/>
        <w:tblCellMar>
          <w:left w:w="0" w:type="dxa"/>
          <w:right w:w="0" w:type="dxa"/>
        </w:tblCellMar>
        <w:tblLook w:val="04A0" w:firstRow="1" w:lastRow="0" w:firstColumn="1" w:lastColumn="0" w:noHBand="0" w:noVBand="1"/>
      </w:tblPr>
      <w:tblGrid>
        <w:gridCol w:w="7448"/>
        <w:gridCol w:w="1624"/>
        <w:gridCol w:w="1200"/>
      </w:tblGrid>
      <w:tr w:rsidR="000F4B80" w:rsidRPr="001526FF" w14:paraId="5BBACF41" w14:textId="77777777" w:rsidTr="009858AE">
        <w:trPr>
          <w:trHeight w:val="322"/>
        </w:trPr>
        <w:tc>
          <w:tcPr>
            <w:tcW w:w="7448" w:type="dxa"/>
            <w:tcBorders>
              <w:top w:val="nil"/>
              <w:left w:val="nil"/>
              <w:bottom w:val="nil"/>
              <w:right w:val="nil"/>
            </w:tcBorders>
            <w:shd w:val="clear" w:color="auto" w:fill="002677"/>
            <w:tcMar>
              <w:top w:w="13" w:type="dxa"/>
              <w:left w:w="97" w:type="dxa"/>
              <w:bottom w:w="0" w:type="dxa"/>
              <w:right w:w="97" w:type="dxa"/>
            </w:tcMar>
            <w:vAlign w:val="center"/>
          </w:tcPr>
          <w:p w14:paraId="37CDCEFC" w14:textId="77777777" w:rsidR="000F4B80" w:rsidRPr="001526FF" w:rsidRDefault="000F4B80" w:rsidP="000F4B80">
            <w:pPr>
              <w:rPr>
                <w:rFonts w:cstheme="minorHAnsi"/>
                <w:color w:val="FFFFFF" w:themeColor="background1"/>
                <w:kern w:val="24"/>
                <w:sz w:val="22"/>
                <w:szCs w:val="22"/>
                <w:lang w:val="en-US"/>
              </w:rPr>
            </w:pPr>
            <w:r w:rsidRPr="001526FF">
              <w:rPr>
                <w:rFonts w:cstheme="minorHAnsi"/>
                <w:color w:val="FFFFFF" w:themeColor="background1"/>
                <w:kern w:val="24"/>
                <w:sz w:val="22"/>
                <w:szCs w:val="22"/>
                <w:lang w:val="en-US"/>
              </w:rPr>
              <w:t>(</w:t>
            </w:r>
            <w:r>
              <w:rPr>
                <w:rFonts w:cstheme="minorHAnsi"/>
                <w:color w:val="FFFFFF" w:themeColor="background1"/>
                <w:kern w:val="24"/>
                <w:sz w:val="22"/>
                <w:szCs w:val="22"/>
                <w:lang w:val="el-GR"/>
              </w:rPr>
              <w:t>σε</w:t>
            </w:r>
            <w:r w:rsidRPr="001526FF">
              <w:rPr>
                <w:rFonts w:cstheme="minorHAnsi"/>
                <w:color w:val="FFFFFF" w:themeColor="background1"/>
                <w:kern w:val="24"/>
                <w:sz w:val="22"/>
                <w:szCs w:val="22"/>
                <w:lang w:val="en-US"/>
              </w:rPr>
              <w:t xml:space="preserve"> € </w:t>
            </w:r>
            <w:proofErr w:type="spellStart"/>
            <w:r>
              <w:rPr>
                <w:rFonts w:cstheme="minorHAnsi"/>
                <w:color w:val="FFFFFF" w:themeColor="background1"/>
                <w:kern w:val="24"/>
                <w:sz w:val="22"/>
                <w:szCs w:val="22"/>
                <w:lang w:val="el-GR"/>
              </w:rPr>
              <w:t>εκατ</w:t>
            </w:r>
            <w:proofErr w:type="spellEnd"/>
            <w:r w:rsidRPr="001526FF">
              <w:rPr>
                <w:rFonts w:cstheme="minorHAnsi"/>
                <w:color w:val="FFFFFF" w:themeColor="background1"/>
                <w:kern w:val="24"/>
                <w:sz w:val="22"/>
                <w:szCs w:val="22"/>
                <w:lang w:val="en-US"/>
              </w:rPr>
              <w:t>.)</w:t>
            </w:r>
          </w:p>
        </w:tc>
        <w:tc>
          <w:tcPr>
            <w:tcW w:w="1624" w:type="dxa"/>
            <w:tcBorders>
              <w:top w:val="nil"/>
              <w:left w:val="nil"/>
              <w:bottom w:val="nil"/>
              <w:right w:val="nil"/>
            </w:tcBorders>
            <w:shd w:val="clear" w:color="auto" w:fill="002677"/>
            <w:vAlign w:val="center"/>
          </w:tcPr>
          <w:p w14:paraId="6D8A6958" w14:textId="38CE7E06" w:rsidR="000F4B80" w:rsidRDefault="000F4B80" w:rsidP="000F4B80">
            <w:pPr>
              <w:spacing w:line="280" w:lineRule="exact"/>
              <w:jc w:val="center"/>
              <w:rPr>
                <w:rFonts w:cstheme="minorHAnsi"/>
                <w:b/>
                <w:bCs/>
                <w:color w:val="FFFFFF" w:themeColor="background1"/>
                <w:kern w:val="24"/>
                <w:sz w:val="22"/>
                <w:szCs w:val="22"/>
                <w:lang w:val="el-GR"/>
              </w:rPr>
            </w:pPr>
            <w:r>
              <w:rPr>
                <w:rFonts w:cstheme="minorHAnsi"/>
                <w:b/>
                <w:bCs/>
                <w:color w:val="FFFFFF" w:themeColor="background1"/>
                <w:kern w:val="24"/>
                <w:sz w:val="22"/>
                <w:szCs w:val="22"/>
                <w:lang w:val="el-GR"/>
              </w:rPr>
              <w:t>31.</w:t>
            </w:r>
            <w:r w:rsidR="0049672F">
              <w:rPr>
                <w:rFonts w:cstheme="minorHAnsi"/>
                <w:b/>
                <w:bCs/>
                <w:color w:val="FFFFFF" w:themeColor="background1"/>
                <w:kern w:val="24"/>
                <w:sz w:val="22"/>
                <w:szCs w:val="22"/>
                <w:lang w:val="en-US"/>
              </w:rPr>
              <w:t>03</w:t>
            </w:r>
            <w:r>
              <w:rPr>
                <w:rFonts w:cstheme="minorHAnsi"/>
                <w:b/>
                <w:bCs/>
                <w:color w:val="FFFFFF" w:themeColor="background1"/>
                <w:kern w:val="24"/>
                <w:sz w:val="22"/>
                <w:szCs w:val="22"/>
                <w:lang w:val="el-GR"/>
              </w:rPr>
              <w:t>.</w:t>
            </w:r>
            <w:r w:rsidRPr="001526FF">
              <w:rPr>
                <w:rFonts w:cstheme="minorHAnsi"/>
                <w:b/>
                <w:bCs/>
                <w:color w:val="FFFFFF" w:themeColor="background1"/>
                <w:kern w:val="24"/>
                <w:sz w:val="22"/>
                <w:szCs w:val="22"/>
                <w:lang w:val="en-US"/>
              </w:rPr>
              <w:t>202</w:t>
            </w:r>
            <w:r>
              <w:rPr>
                <w:rFonts w:cstheme="minorHAnsi"/>
                <w:b/>
                <w:bCs/>
                <w:color w:val="FFFFFF" w:themeColor="background1"/>
                <w:kern w:val="24"/>
                <w:sz w:val="22"/>
                <w:szCs w:val="22"/>
                <w:lang w:val="en-US"/>
              </w:rPr>
              <w:t>2</w:t>
            </w:r>
          </w:p>
        </w:tc>
        <w:tc>
          <w:tcPr>
            <w:tcW w:w="1200" w:type="dxa"/>
            <w:tcBorders>
              <w:top w:val="nil"/>
              <w:left w:val="nil"/>
              <w:bottom w:val="nil"/>
              <w:right w:val="nil"/>
            </w:tcBorders>
            <w:shd w:val="clear" w:color="auto" w:fill="002677"/>
            <w:tcMar>
              <w:top w:w="13" w:type="dxa"/>
              <w:left w:w="13" w:type="dxa"/>
              <w:bottom w:w="0" w:type="dxa"/>
              <w:right w:w="13" w:type="dxa"/>
            </w:tcMar>
            <w:vAlign w:val="center"/>
          </w:tcPr>
          <w:p w14:paraId="71F83FF7" w14:textId="77777777" w:rsidR="000F4B80" w:rsidRPr="000F4B80" w:rsidRDefault="000F4B80" w:rsidP="000F4B80">
            <w:pPr>
              <w:spacing w:line="280" w:lineRule="exact"/>
              <w:jc w:val="center"/>
              <w:rPr>
                <w:rFonts w:cstheme="minorHAnsi"/>
                <w:sz w:val="22"/>
                <w:szCs w:val="22"/>
                <w:lang w:val="el-GR"/>
              </w:rPr>
            </w:pPr>
            <w:r>
              <w:rPr>
                <w:rFonts w:cstheme="minorHAnsi"/>
                <w:b/>
                <w:bCs/>
                <w:color w:val="FFFFFF" w:themeColor="background1"/>
                <w:kern w:val="24"/>
                <w:sz w:val="22"/>
                <w:szCs w:val="22"/>
                <w:lang w:val="el-GR"/>
              </w:rPr>
              <w:t>31.03.</w:t>
            </w:r>
            <w:r w:rsidRPr="001526FF">
              <w:rPr>
                <w:rFonts w:cstheme="minorHAnsi"/>
                <w:b/>
                <w:bCs/>
                <w:color w:val="FFFFFF" w:themeColor="background1"/>
                <w:kern w:val="24"/>
                <w:sz w:val="22"/>
                <w:szCs w:val="22"/>
                <w:lang w:val="en-US"/>
              </w:rPr>
              <w:t>202</w:t>
            </w:r>
            <w:r>
              <w:rPr>
                <w:rFonts w:cstheme="minorHAnsi"/>
                <w:b/>
                <w:bCs/>
                <w:color w:val="FFFFFF" w:themeColor="background1"/>
                <w:kern w:val="24"/>
                <w:sz w:val="22"/>
                <w:szCs w:val="22"/>
                <w:lang w:val="el-GR"/>
              </w:rPr>
              <w:t>3</w:t>
            </w:r>
          </w:p>
        </w:tc>
      </w:tr>
      <w:tr w:rsidR="000F4B80" w:rsidRPr="001526FF" w14:paraId="48F7786B" w14:textId="77777777" w:rsidTr="009858AE">
        <w:trPr>
          <w:trHeight w:val="40"/>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28ADD971" w14:textId="77777777" w:rsidR="000F4B80" w:rsidRPr="001526FF" w:rsidRDefault="000F4B80" w:rsidP="000F4B80">
            <w:pPr>
              <w:rPr>
                <w:rFonts w:cstheme="minorHAnsi"/>
                <w:color w:val="243587"/>
                <w:sz w:val="22"/>
                <w:szCs w:val="22"/>
              </w:rPr>
            </w:pPr>
          </w:p>
        </w:tc>
        <w:tc>
          <w:tcPr>
            <w:tcW w:w="1624" w:type="dxa"/>
            <w:tcBorders>
              <w:top w:val="nil"/>
              <w:left w:val="nil"/>
              <w:bottom w:val="nil"/>
              <w:right w:val="nil"/>
            </w:tcBorders>
            <w:vAlign w:val="center"/>
          </w:tcPr>
          <w:p w14:paraId="307B7BF3" w14:textId="77777777" w:rsidR="000F4B80" w:rsidRPr="001526FF" w:rsidRDefault="000F4B80" w:rsidP="000F4B80">
            <w:pPr>
              <w:jc w:val="center"/>
              <w:textAlignment w:val="bottom"/>
              <w:rPr>
                <w:rFonts w:eastAsia="Calibri" w:cstheme="minorHAnsi"/>
                <w:color w:val="213368"/>
                <w:kern w:val="24"/>
                <w:sz w:val="22"/>
                <w:szCs w:val="22"/>
                <w:lang w:val="en-US" w:eastAsia="el-GR"/>
              </w:rPr>
            </w:pPr>
          </w:p>
        </w:tc>
        <w:tc>
          <w:tcPr>
            <w:tcW w:w="1200" w:type="dxa"/>
            <w:tcBorders>
              <w:top w:val="nil"/>
              <w:left w:val="nil"/>
              <w:bottom w:val="nil"/>
              <w:right w:val="nil"/>
            </w:tcBorders>
            <w:shd w:val="clear" w:color="auto" w:fill="F0F3FA"/>
            <w:tcMar>
              <w:top w:w="13" w:type="dxa"/>
              <w:left w:w="13" w:type="dxa"/>
              <w:bottom w:w="0" w:type="dxa"/>
              <w:right w:w="13" w:type="dxa"/>
            </w:tcMar>
            <w:vAlign w:val="center"/>
          </w:tcPr>
          <w:p w14:paraId="0C4EE017" w14:textId="77777777" w:rsidR="000F4B80" w:rsidRPr="001526FF" w:rsidRDefault="000F4B80" w:rsidP="000F4B80">
            <w:pPr>
              <w:jc w:val="center"/>
              <w:textAlignment w:val="bottom"/>
              <w:rPr>
                <w:rFonts w:eastAsia="Calibri" w:cstheme="minorHAnsi"/>
                <w:color w:val="213368"/>
                <w:kern w:val="24"/>
                <w:sz w:val="22"/>
                <w:szCs w:val="22"/>
                <w:lang w:val="en-US" w:eastAsia="el-GR"/>
              </w:rPr>
            </w:pPr>
          </w:p>
        </w:tc>
      </w:tr>
      <w:tr w:rsidR="0072060B" w:rsidRPr="001526FF" w14:paraId="43EAAD8B" w14:textId="77777777" w:rsidTr="00DA2500">
        <w:trPr>
          <w:trHeight w:val="194"/>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58D38533" w14:textId="77777777" w:rsidR="0072060B" w:rsidRPr="008916D0" w:rsidRDefault="0072060B" w:rsidP="0072060B">
            <w:pPr>
              <w:rPr>
                <w:rFonts w:cstheme="minorHAnsi"/>
                <w:color w:val="243587"/>
                <w:sz w:val="22"/>
                <w:szCs w:val="22"/>
                <w:lang w:val="el-GR"/>
              </w:rPr>
            </w:pPr>
            <w:r w:rsidRPr="008916D0">
              <w:rPr>
                <w:rFonts w:cstheme="minorHAnsi"/>
                <w:color w:val="243587"/>
                <w:sz w:val="22"/>
                <w:szCs w:val="22"/>
                <w:lang w:val="el-GR"/>
              </w:rPr>
              <w:t>Καθαρές ταμειακές εισροές/ (εκροές) από λειτουργικές δραστηριότητες</w:t>
            </w:r>
          </w:p>
        </w:tc>
        <w:tc>
          <w:tcPr>
            <w:tcW w:w="1624" w:type="dxa"/>
            <w:tcBorders>
              <w:top w:val="nil"/>
              <w:left w:val="nil"/>
              <w:bottom w:val="nil"/>
              <w:right w:val="nil"/>
            </w:tcBorders>
            <w:vAlign w:val="bottom"/>
          </w:tcPr>
          <w:p w14:paraId="45A9D7AF" w14:textId="7E6E38F9" w:rsidR="0072060B" w:rsidRPr="00C268DC" w:rsidRDefault="0072060B" w:rsidP="0072060B">
            <w:pPr>
              <w:jc w:val="center"/>
              <w:rPr>
                <w:rFonts w:eastAsia="Calibri" w:cstheme="minorHAnsi"/>
                <w:color w:val="213368"/>
                <w:kern w:val="24"/>
                <w:sz w:val="22"/>
                <w:szCs w:val="22"/>
                <w:lang w:val="el-GR" w:eastAsia="el-GR"/>
              </w:rPr>
            </w:pPr>
            <w:r w:rsidRPr="0072060B">
              <w:rPr>
                <w:rFonts w:eastAsia="Calibri" w:cstheme="minorHAnsi"/>
                <w:color w:val="213368"/>
                <w:kern w:val="24"/>
                <w:sz w:val="22"/>
                <w:szCs w:val="22"/>
                <w:lang w:val="el-GR" w:eastAsia="el-GR"/>
              </w:rPr>
              <w:t>42,7</w:t>
            </w:r>
          </w:p>
        </w:tc>
        <w:tc>
          <w:tcPr>
            <w:tcW w:w="1200" w:type="dxa"/>
            <w:tcBorders>
              <w:top w:val="nil"/>
              <w:left w:val="nil"/>
              <w:bottom w:val="nil"/>
              <w:right w:val="nil"/>
            </w:tcBorders>
            <w:shd w:val="clear" w:color="auto" w:fill="F0F3FA"/>
            <w:tcMar>
              <w:top w:w="13" w:type="dxa"/>
              <w:left w:w="13" w:type="dxa"/>
              <w:bottom w:w="0" w:type="dxa"/>
              <w:right w:w="13" w:type="dxa"/>
            </w:tcMar>
            <w:vAlign w:val="bottom"/>
          </w:tcPr>
          <w:p w14:paraId="1FC42C78" w14:textId="69EB5983" w:rsidR="0072060B" w:rsidRPr="00C268DC" w:rsidRDefault="0072060B" w:rsidP="0072060B">
            <w:pPr>
              <w:jc w:val="center"/>
              <w:rPr>
                <w:rFonts w:eastAsia="Calibri" w:cstheme="minorHAnsi"/>
                <w:color w:val="213368"/>
                <w:kern w:val="24"/>
                <w:sz w:val="22"/>
                <w:szCs w:val="22"/>
                <w:lang w:val="el-GR" w:eastAsia="el-GR"/>
              </w:rPr>
            </w:pPr>
            <w:r w:rsidRPr="00790B43">
              <w:rPr>
                <w:rFonts w:eastAsia="Calibri" w:cstheme="minorHAnsi"/>
                <w:color w:val="213368"/>
                <w:kern w:val="24"/>
                <w:sz w:val="22"/>
                <w:szCs w:val="22"/>
                <w:lang w:val="el-GR" w:eastAsia="el-GR"/>
              </w:rPr>
              <w:t>138,6</w:t>
            </w:r>
          </w:p>
        </w:tc>
      </w:tr>
      <w:tr w:rsidR="0072060B" w:rsidRPr="001526FF" w14:paraId="73B9F991" w14:textId="77777777" w:rsidTr="00DA2500">
        <w:trPr>
          <w:trHeight w:val="199"/>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1D107EF2" w14:textId="77777777" w:rsidR="0072060B" w:rsidRPr="008916D0" w:rsidRDefault="0072060B" w:rsidP="0072060B">
            <w:pPr>
              <w:rPr>
                <w:rFonts w:cstheme="minorHAnsi"/>
                <w:color w:val="243587"/>
                <w:sz w:val="22"/>
                <w:szCs w:val="22"/>
                <w:lang w:val="el-GR"/>
              </w:rPr>
            </w:pPr>
            <w:r w:rsidRPr="008916D0">
              <w:rPr>
                <w:rFonts w:cstheme="minorHAnsi"/>
                <w:color w:val="243587"/>
                <w:sz w:val="22"/>
                <w:szCs w:val="22"/>
                <w:lang w:val="el-GR"/>
              </w:rPr>
              <w:t>Καθαρές ταμειακές εισροές / (εκροές) από επενδυτικές δραστηριότητες</w:t>
            </w:r>
          </w:p>
        </w:tc>
        <w:tc>
          <w:tcPr>
            <w:tcW w:w="1624" w:type="dxa"/>
            <w:tcBorders>
              <w:top w:val="nil"/>
              <w:left w:val="nil"/>
              <w:bottom w:val="nil"/>
              <w:right w:val="nil"/>
            </w:tcBorders>
            <w:vAlign w:val="bottom"/>
          </w:tcPr>
          <w:p w14:paraId="1CE2CE67" w14:textId="602F2D24" w:rsidR="0072060B" w:rsidRPr="00C268DC" w:rsidRDefault="0072060B" w:rsidP="0072060B">
            <w:pPr>
              <w:jc w:val="center"/>
              <w:rPr>
                <w:rFonts w:eastAsia="Calibri" w:cstheme="minorHAnsi"/>
                <w:color w:val="213368"/>
                <w:kern w:val="24"/>
                <w:sz w:val="22"/>
                <w:szCs w:val="22"/>
                <w:lang w:val="el-GR" w:eastAsia="el-GR"/>
              </w:rPr>
            </w:pPr>
            <w:r w:rsidRPr="0072060B">
              <w:rPr>
                <w:rFonts w:eastAsia="Calibri" w:cstheme="minorHAnsi"/>
                <w:color w:val="213368"/>
                <w:kern w:val="24"/>
                <w:sz w:val="22"/>
                <w:szCs w:val="22"/>
                <w:lang w:val="el-GR" w:eastAsia="el-GR"/>
              </w:rPr>
              <w:t>(28,5)</w:t>
            </w:r>
          </w:p>
        </w:tc>
        <w:tc>
          <w:tcPr>
            <w:tcW w:w="1200" w:type="dxa"/>
            <w:tcBorders>
              <w:top w:val="nil"/>
              <w:left w:val="nil"/>
              <w:bottom w:val="nil"/>
              <w:right w:val="nil"/>
            </w:tcBorders>
            <w:shd w:val="clear" w:color="auto" w:fill="F0F3FA"/>
            <w:tcMar>
              <w:top w:w="13" w:type="dxa"/>
              <w:left w:w="13" w:type="dxa"/>
              <w:bottom w:w="0" w:type="dxa"/>
              <w:right w:w="13" w:type="dxa"/>
            </w:tcMar>
            <w:vAlign w:val="bottom"/>
          </w:tcPr>
          <w:p w14:paraId="4414F9A5" w14:textId="1E4A285A" w:rsidR="0072060B" w:rsidRPr="00C268DC" w:rsidRDefault="0072060B" w:rsidP="0072060B">
            <w:pPr>
              <w:jc w:val="center"/>
              <w:rPr>
                <w:rFonts w:eastAsia="Calibri" w:cstheme="minorHAnsi"/>
                <w:color w:val="213368"/>
                <w:kern w:val="24"/>
                <w:sz w:val="22"/>
                <w:szCs w:val="22"/>
                <w:lang w:val="el-GR" w:eastAsia="el-GR"/>
              </w:rPr>
            </w:pPr>
            <w:r w:rsidRPr="00790B43">
              <w:rPr>
                <w:rFonts w:eastAsia="Calibri" w:cstheme="minorHAnsi"/>
                <w:color w:val="213368"/>
                <w:kern w:val="24"/>
                <w:sz w:val="22"/>
                <w:szCs w:val="22"/>
                <w:lang w:val="el-GR" w:eastAsia="el-GR"/>
              </w:rPr>
              <w:t>(3,7)</w:t>
            </w:r>
          </w:p>
        </w:tc>
      </w:tr>
      <w:tr w:rsidR="0072060B" w:rsidRPr="001526FF" w14:paraId="5E7993F6" w14:textId="77777777" w:rsidTr="00DA2500">
        <w:trPr>
          <w:trHeight w:val="193"/>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40A82C95" w14:textId="77777777" w:rsidR="0072060B" w:rsidRPr="008916D0" w:rsidRDefault="0072060B" w:rsidP="0072060B">
            <w:pPr>
              <w:rPr>
                <w:rFonts w:cstheme="minorHAnsi"/>
                <w:color w:val="243587"/>
                <w:sz w:val="22"/>
                <w:szCs w:val="22"/>
                <w:lang w:val="el-GR"/>
              </w:rPr>
            </w:pPr>
            <w:r w:rsidRPr="008916D0">
              <w:rPr>
                <w:rFonts w:cstheme="minorHAnsi"/>
                <w:color w:val="243587"/>
                <w:sz w:val="22"/>
                <w:szCs w:val="22"/>
                <w:lang w:val="el-GR"/>
              </w:rPr>
              <w:t>Καθαρές ταμειακές εισροές/ (εκροές) από χρηματοδοτικές δραστηριότητες</w:t>
            </w:r>
          </w:p>
        </w:tc>
        <w:tc>
          <w:tcPr>
            <w:tcW w:w="1624" w:type="dxa"/>
            <w:tcBorders>
              <w:top w:val="nil"/>
              <w:left w:val="nil"/>
              <w:bottom w:val="nil"/>
              <w:right w:val="nil"/>
            </w:tcBorders>
            <w:vAlign w:val="bottom"/>
          </w:tcPr>
          <w:p w14:paraId="0EC3222E" w14:textId="1341F8CB" w:rsidR="0072060B" w:rsidRPr="00C268DC" w:rsidRDefault="0072060B" w:rsidP="0072060B">
            <w:pPr>
              <w:jc w:val="center"/>
              <w:rPr>
                <w:rFonts w:eastAsia="Calibri" w:cstheme="minorHAnsi"/>
                <w:color w:val="213368"/>
                <w:kern w:val="24"/>
                <w:sz w:val="22"/>
                <w:szCs w:val="22"/>
                <w:lang w:val="el-GR" w:eastAsia="el-GR"/>
              </w:rPr>
            </w:pPr>
            <w:r w:rsidRPr="0072060B">
              <w:rPr>
                <w:rFonts w:eastAsia="Calibri" w:cstheme="minorHAnsi"/>
                <w:color w:val="213368"/>
                <w:kern w:val="24"/>
                <w:sz w:val="22"/>
                <w:szCs w:val="22"/>
                <w:lang w:val="el-GR" w:eastAsia="el-GR"/>
              </w:rPr>
              <w:t>(41,4)</w:t>
            </w:r>
          </w:p>
        </w:tc>
        <w:tc>
          <w:tcPr>
            <w:tcW w:w="1200" w:type="dxa"/>
            <w:tcBorders>
              <w:top w:val="nil"/>
              <w:left w:val="nil"/>
              <w:bottom w:val="nil"/>
              <w:right w:val="nil"/>
            </w:tcBorders>
            <w:shd w:val="clear" w:color="auto" w:fill="F0F3FA"/>
            <w:tcMar>
              <w:top w:w="13" w:type="dxa"/>
              <w:left w:w="13" w:type="dxa"/>
              <w:bottom w:w="0" w:type="dxa"/>
              <w:right w:w="13" w:type="dxa"/>
            </w:tcMar>
            <w:vAlign w:val="bottom"/>
          </w:tcPr>
          <w:p w14:paraId="6F02EE37" w14:textId="3AAB514A" w:rsidR="0072060B" w:rsidRPr="00C268DC" w:rsidRDefault="0072060B" w:rsidP="0072060B">
            <w:pPr>
              <w:jc w:val="center"/>
              <w:rPr>
                <w:rFonts w:eastAsia="Calibri" w:cstheme="minorHAnsi"/>
                <w:color w:val="213368"/>
                <w:kern w:val="24"/>
                <w:sz w:val="22"/>
                <w:szCs w:val="22"/>
                <w:lang w:val="el-GR" w:eastAsia="el-GR"/>
              </w:rPr>
            </w:pPr>
            <w:r w:rsidRPr="00790B43">
              <w:rPr>
                <w:rFonts w:eastAsia="Calibri" w:cstheme="minorHAnsi"/>
                <w:color w:val="213368"/>
                <w:kern w:val="24"/>
                <w:sz w:val="22"/>
                <w:szCs w:val="22"/>
                <w:lang w:val="el-GR" w:eastAsia="el-GR"/>
              </w:rPr>
              <w:t>(74,9)</w:t>
            </w:r>
          </w:p>
        </w:tc>
      </w:tr>
      <w:tr w:rsidR="0072060B" w:rsidRPr="001526FF" w14:paraId="1FB1E1AE" w14:textId="77777777" w:rsidTr="00DA2500">
        <w:trPr>
          <w:trHeight w:val="234"/>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792E386E" w14:textId="77777777" w:rsidR="0072060B" w:rsidRPr="008916D0" w:rsidRDefault="0072060B" w:rsidP="0072060B">
            <w:pPr>
              <w:rPr>
                <w:rFonts w:cstheme="minorHAnsi"/>
                <w:color w:val="243587"/>
                <w:sz w:val="22"/>
                <w:szCs w:val="22"/>
                <w:lang w:val="el-GR"/>
              </w:rPr>
            </w:pPr>
            <w:r w:rsidRPr="008916D0">
              <w:rPr>
                <w:rFonts w:cstheme="minorHAnsi"/>
                <w:color w:val="243587"/>
                <w:sz w:val="22"/>
                <w:szCs w:val="22"/>
                <w:lang w:val="el-GR"/>
              </w:rPr>
              <w:t xml:space="preserve">Καθαρή αύξηση / (μείωση) στα ταμειακά διαθέσιμα και ισοδύναμα </w:t>
            </w:r>
          </w:p>
        </w:tc>
        <w:tc>
          <w:tcPr>
            <w:tcW w:w="1624" w:type="dxa"/>
            <w:tcBorders>
              <w:top w:val="nil"/>
              <w:left w:val="nil"/>
              <w:bottom w:val="nil"/>
              <w:right w:val="nil"/>
            </w:tcBorders>
            <w:vAlign w:val="bottom"/>
          </w:tcPr>
          <w:p w14:paraId="7D37BBA9" w14:textId="3EEF0CD5" w:rsidR="0072060B" w:rsidRPr="00C268DC" w:rsidRDefault="0072060B" w:rsidP="0072060B">
            <w:pPr>
              <w:jc w:val="center"/>
              <w:rPr>
                <w:rFonts w:eastAsia="Calibri" w:cstheme="minorHAnsi"/>
                <w:color w:val="213368"/>
                <w:kern w:val="24"/>
                <w:sz w:val="22"/>
                <w:szCs w:val="22"/>
                <w:lang w:val="el-GR" w:eastAsia="el-GR"/>
              </w:rPr>
            </w:pPr>
            <w:r w:rsidRPr="0072060B">
              <w:rPr>
                <w:rFonts w:eastAsia="Calibri" w:cstheme="minorHAnsi"/>
                <w:color w:val="213368"/>
                <w:kern w:val="24"/>
                <w:sz w:val="22"/>
                <w:szCs w:val="22"/>
                <w:lang w:val="el-GR" w:eastAsia="el-GR"/>
              </w:rPr>
              <w:t>(27,2)</w:t>
            </w:r>
          </w:p>
        </w:tc>
        <w:tc>
          <w:tcPr>
            <w:tcW w:w="1200" w:type="dxa"/>
            <w:tcBorders>
              <w:top w:val="nil"/>
              <w:left w:val="nil"/>
              <w:bottom w:val="nil"/>
              <w:right w:val="nil"/>
            </w:tcBorders>
            <w:shd w:val="clear" w:color="auto" w:fill="F0F3FA"/>
            <w:tcMar>
              <w:top w:w="13" w:type="dxa"/>
              <w:left w:w="13" w:type="dxa"/>
              <w:bottom w:w="0" w:type="dxa"/>
              <w:right w:w="13" w:type="dxa"/>
            </w:tcMar>
            <w:vAlign w:val="bottom"/>
          </w:tcPr>
          <w:p w14:paraId="5E272B38" w14:textId="79B6604A" w:rsidR="0072060B" w:rsidRPr="00C268DC" w:rsidRDefault="0072060B" w:rsidP="0072060B">
            <w:pPr>
              <w:jc w:val="center"/>
              <w:rPr>
                <w:rFonts w:eastAsia="Calibri" w:cstheme="minorHAnsi"/>
                <w:color w:val="213368"/>
                <w:kern w:val="24"/>
                <w:sz w:val="22"/>
                <w:szCs w:val="22"/>
                <w:lang w:val="el-GR" w:eastAsia="el-GR"/>
              </w:rPr>
            </w:pPr>
            <w:r w:rsidRPr="00790B43">
              <w:rPr>
                <w:rFonts w:eastAsia="Calibri" w:cstheme="minorHAnsi"/>
                <w:color w:val="213368"/>
                <w:kern w:val="24"/>
                <w:sz w:val="22"/>
                <w:szCs w:val="22"/>
                <w:lang w:val="el-GR" w:eastAsia="el-GR"/>
              </w:rPr>
              <w:t>59,9</w:t>
            </w:r>
          </w:p>
        </w:tc>
      </w:tr>
      <w:tr w:rsidR="0072060B" w:rsidRPr="001526FF" w14:paraId="439A4535" w14:textId="77777777" w:rsidTr="00DA2500">
        <w:trPr>
          <w:trHeight w:val="214"/>
        </w:trPr>
        <w:tc>
          <w:tcPr>
            <w:tcW w:w="7448" w:type="dxa"/>
            <w:tcBorders>
              <w:top w:val="nil"/>
              <w:left w:val="nil"/>
              <w:bottom w:val="nil"/>
              <w:right w:val="nil"/>
            </w:tcBorders>
            <w:shd w:val="clear" w:color="auto" w:fill="auto"/>
            <w:tcMar>
              <w:top w:w="13" w:type="dxa"/>
              <w:left w:w="97" w:type="dxa"/>
              <w:bottom w:w="0" w:type="dxa"/>
              <w:right w:w="97" w:type="dxa"/>
            </w:tcMar>
            <w:vAlign w:val="center"/>
          </w:tcPr>
          <w:p w14:paraId="062B9DFE" w14:textId="5FE22FCD" w:rsidR="0072060B" w:rsidRPr="00D36555" w:rsidRDefault="0072060B" w:rsidP="0072060B">
            <w:pPr>
              <w:rPr>
                <w:rFonts w:cstheme="minorHAnsi"/>
                <w:color w:val="243587"/>
                <w:sz w:val="22"/>
                <w:szCs w:val="22"/>
                <w:lang w:val="el-GR"/>
              </w:rPr>
            </w:pPr>
            <w:r w:rsidRPr="008916D0">
              <w:rPr>
                <w:rFonts w:cstheme="minorHAnsi"/>
                <w:color w:val="243587"/>
                <w:sz w:val="22"/>
                <w:szCs w:val="22"/>
                <w:lang w:val="el-GR"/>
              </w:rPr>
              <w:t>Ταμειακά διαθέσιμα και ισοδύναμα στην αρχή της χρήσης</w:t>
            </w:r>
            <w:r w:rsidR="00D36555" w:rsidRPr="00D36555">
              <w:rPr>
                <w:rFonts w:cstheme="minorHAnsi"/>
                <w:color w:val="243587"/>
                <w:sz w:val="22"/>
                <w:szCs w:val="22"/>
                <w:vertAlign w:val="superscript"/>
                <w:lang w:val="el-GR"/>
              </w:rPr>
              <w:t>1</w:t>
            </w:r>
          </w:p>
        </w:tc>
        <w:tc>
          <w:tcPr>
            <w:tcW w:w="1624" w:type="dxa"/>
            <w:tcBorders>
              <w:top w:val="nil"/>
              <w:left w:val="nil"/>
              <w:bottom w:val="nil"/>
              <w:right w:val="nil"/>
            </w:tcBorders>
            <w:vAlign w:val="bottom"/>
          </w:tcPr>
          <w:p w14:paraId="5258BB37" w14:textId="771AEA6C" w:rsidR="0072060B" w:rsidRPr="00C268DC" w:rsidRDefault="0072060B" w:rsidP="0072060B">
            <w:pPr>
              <w:jc w:val="center"/>
              <w:rPr>
                <w:rFonts w:eastAsia="Calibri" w:cstheme="minorHAnsi"/>
                <w:color w:val="213368"/>
                <w:kern w:val="24"/>
                <w:sz w:val="22"/>
                <w:szCs w:val="22"/>
                <w:lang w:val="el-GR" w:eastAsia="el-GR"/>
              </w:rPr>
            </w:pPr>
            <w:r w:rsidRPr="0072060B">
              <w:rPr>
                <w:rFonts w:eastAsia="Calibri" w:cstheme="minorHAnsi"/>
                <w:color w:val="213368"/>
                <w:kern w:val="24"/>
                <w:sz w:val="22"/>
                <w:szCs w:val="22"/>
                <w:lang w:val="el-GR" w:eastAsia="el-GR"/>
              </w:rPr>
              <w:t>476,4</w:t>
            </w:r>
          </w:p>
        </w:tc>
        <w:tc>
          <w:tcPr>
            <w:tcW w:w="1200" w:type="dxa"/>
            <w:tcBorders>
              <w:top w:val="nil"/>
              <w:left w:val="nil"/>
              <w:bottom w:val="nil"/>
              <w:right w:val="nil"/>
            </w:tcBorders>
            <w:shd w:val="clear" w:color="auto" w:fill="F0F3FA"/>
            <w:tcMar>
              <w:top w:w="13" w:type="dxa"/>
              <w:left w:w="13" w:type="dxa"/>
              <w:bottom w:w="0" w:type="dxa"/>
              <w:right w:w="13" w:type="dxa"/>
            </w:tcMar>
            <w:vAlign w:val="bottom"/>
          </w:tcPr>
          <w:p w14:paraId="311311AF" w14:textId="5D0684D2" w:rsidR="0072060B" w:rsidRPr="00C268DC" w:rsidRDefault="0072060B" w:rsidP="0072060B">
            <w:pPr>
              <w:jc w:val="center"/>
              <w:rPr>
                <w:rFonts w:eastAsia="Calibri" w:cstheme="minorHAnsi"/>
                <w:color w:val="213368"/>
                <w:kern w:val="24"/>
                <w:sz w:val="22"/>
                <w:szCs w:val="22"/>
                <w:lang w:val="el-GR" w:eastAsia="el-GR"/>
              </w:rPr>
            </w:pPr>
            <w:r w:rsidRPr="00790B43">
              <w:rPr>
                <w:rFonts w:eastAsia="Calibri" w:cstheme="minorHAnsi"/>
                <w:color w:val="213368"/>
                <w:kern w:val="24"/>
                <w:sz w:val="22"/>
                <w:szCs w:val="22"/>
                <w:lang w:val="el-GR" w:eastAsia="el-GR"/>
              </w:rPr>
              <w:t>527,9</w:t>
            </w:r>
          </w:p>
        </w:tc>
      </w:tr>
      <w:tr w:rsidR="0072060B" w:rsidRPr="001526FF" w14:paraId="3BA362DA" w14:textId="77777777" w:rsidTr="00DA2500">
        <w:trPr>
          <w:trHeight w:val="194"/>
        </w:trPr>
        <w:tc>
          <w:tcPr>
            <w:tcW w:w="7448"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105DEBE8" w14:textId="77777777" w:rsidR="0072060B" w:rsidRPr="008916D0" w:rsidRDefault="0072060B" w:rsidP="0072060B">
            <w:pPr>
              <w:rPr>
                <w:rFonts w:cstheme="minorHAnsi"/>
                <w:color w:val="243587"/>
                <w:sz w:val="22"/>
                <w:szCs w:val="22"/>
                <w:lang w:val="el-GR"/>
              </w:rPr>
            </w:pPr>
            <w:r w:rsidRPr="008916D0">
              <w:rPr>
                <w:rFonts w:cstheme="minorHAnsi"/>
                <w:color w:val="243587"/>
                <w:sz w:val="22"/>
                <w:szCs w:val="22"/>
                <w:lang w:val="el-GR"/>
              </w:rPr>
              <w:t>Επίδραση συναλλαγματικών διαφορών στα ταμειακά διαθέσιμα &amp; ισοδύναμα</w:t>
            </w:r>
          </w:p>
        </w:tc>
        <w:tc>
          <w:tcPr>
            <w:tcW w:w="1624" w:type="dxa"/>
            <w:tcBorders>
              <w:top w:val="nil"/>
              <w:left w:val="nil"/>
              <w:bottom w:val="single" w:sz="4" w:space="0" w:color="1F3864" w:themeColor="accent1" w:themeShade="80"/>
              <w:right w:val="nil"/>
            </w:tcBorders>
            <w:vAlign w:val="bottom"/>
          </w:tcPr>
          <w:p w14:paraId="7E2FDB19" w14:textId="3F53CCF0" w:rsidR="0072060B" w:rsidRPr="00C268DC" w:rsidRDefault="0072060B" w:rsidP="0072060B">
            <w:pPr>
              <w:jc w:val="center"/>
              <w:rPr>
                <w:rFonts w:eastAsia="Calibri" w:cstheme="minorHAnsi"/>
                <w:color w:val="213368"/>
                <w:kern w:val="24"/>
                <w:sz w:val="22"/>
                <w:szCs w:val="22"/>
                <w:lang w:val="el-GR" w:eastAsia="el-GR"/>
              </w:rPr>
            </w:pPr>
            <w:r w:rsidRPr="0072060B">
              <w:rPr>
                <w:rFonts w:eastAsia="Calibri" w:cstheme="minorHAnsi"/>
                <w:color w:val="213368"/>
                <w:kern w:val="24"/>
                <w:sz w:val="22"/>
                <w:szCs w:val="22"/>
                <w:lang w:val="el-GR" w:eastAsia="el-GR"/>
              </w:rPr>
              <w:t>11,6</w:t>
            </w:r>
          </w:p>
        </w:tc>
        <w:tc>
          <w:tcPr>
            <w:tcW w:w="1200" w:type="dxa"/>
            <w:tcBorders>
              <w:top w:val="nil"/>
              <w:left w:val="nil"/>
              <w:bottom w:val="single" w:sz="4" w:space="0" w:color="1F3864" w:themeColor="accent1" w:themeShade="80"/>
              <w:right w:val="nil"/>
            </w:tcBorders>
            <w:shd w:val="clear" w:color="auto" w:fill="F0F3FA"/>
            <w:tcMar>
              <w:top w:w="13" w:type="dxa"/>
              <w:left w:w="13" w:type="dxa"/>
              <w:bottom w:w="0" w:type="dxa"/>
              <w:right w:w="13" w:type="dxa"/>
            </w:tcMar>
            <w:vAlign w:val="bottom"/>
          </w:tcPr>
          <w:p w14:paraId="0CF55AA7" w14:textId="6783E825" w:rsidR="0072060B" w:rsidRPr="00C268DC" w:rsidRDefault="0072060B" w:rsidP="0072060B">
            <w:pPr>
              <w:jc w:val="center"/>
              <w:rPr>
                <w:rFonts w:eastAsia="Calibri" w:cstheme="minorHAnsi"/>
                <w:color w:val="213368"/>
                <w:kern w:val="24"/>
                <w:sz w:val="22"/>
                <w:szCs w:val="22"/>
                <w:lang w:val="el-GR" w:eastAsia="el-GR"/>
              </w:rPr>
            </w:pPr>
            <w:r w:rsidRPr="00790B43">
              <w:rPr>
                <w:rFonts w:eastAsia="Calibri" w:cstheme="minorHAnsi"/>
                <w:color w:val="213368"/>
                <w:kern w:val="24"/>
                <w:sz w:val="22"/>
                <w:szCs w:val="22"/>
                <w:lang w:val="el-GR" w:eastAsia="el-GR"/>
              </w:rPr>
              <w:t>3,2</w:t>
            </w:r>
          </w:p>
        </w:tc>
      </w:tr>
      <w:tr w:rsidR="0072060B" w:rsidRPr="001526FF" w14:paraId="6A7A2A26" w14:textId="77777777" w:rsidTr="00DA2500">
        <w:trPr>
          <w:trHeight w:val="189"/>
        </w:trPr>
        <w:tc>
          <w:tcPr>
            <w:tcW w:w="7448" w:type="dxa"/>
            <w:tcBorders>
              <w:top w:val="single" w:sz="4" w:space="0" w:color="1F3864" w:themeColor="accent1" w:themeShade="80"/>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06142927" w14:textId="0350B474" w:rsidR="0072060B" w:rsidRPr="00D36555" w:rsidRDefault="0072060B" w:rsidP="0072060B">
            <w:pPr>
              <w:rPr>
                <w:rFonts w:cstheme="minorHAnsi"/>
                <w:color w:val="243587"/>
                <w:sz w:val="22"/>
                <w:szCs w:val="22"/>
                <w:lang w:val="el-GR"/>
              </w:rPr>
            </w:pPr>
            <w:r w:rsidRPr="008916D0">
              <w:rPr>
                <w:rFonts w:cstheme="minorHAnsi"/>
                <w:color w:val="243587"/>
                <w:sz w:val="22"/>
                <w:szCs w:val="22"/>
                <w:lang w:val="el-GR"/>
              </w:rPr>
              <w:t>Ταμειακά διαθέσιμα και ισοδύναμα στο τέλος της χρήσης</w:t>
            </w:r>
            <w:r w:rsidR="00D36555" w:rsidRPr="00D36555">
              <w:rPr>
                <w:rFonts w:cstheme="minorHAnsi"/>
                <w:color w:val="243587"/>
                <w:sz w:val="22"/>
                <w:szCs w:val="22"/>
                <w:vertAlign w:val="superscript"/>
                <w:lang w:val="el-GR"/>
              </w:rPr>
              <w:t>1</w:t>
            </w:r>
          </w:p>
        </w:tc>
        <w:tc>
          <w:tcPr>
            <w:tcW w:w="1624" w:type="dxa"/>
            <w:tcBorders>
              <w:top w:val="single" w:sz="4" w:space="0" w:color="1F3864" w:themeColor="accent1" w:themeShade="80"/>
              <w:left w:val="nil"/>
              <w:bottom w:val="single" w:sz="4" w:space="0" w:color="1F3864" w:themeColor="accent1" w:themeShade="80"/>
              <w:right w:val="nil"/>
            </w:tcBorders>
            <w:vAlign w:val="bottom"/>
          </w:tcPr>
          <w:p w14:paraId="4E7B7C7B" w14:textId="071141E1" w:rsidR="0072060B" w:rsidRPr="00C268DC" w:rsidRDefault="0072060B" w:rsidP="0072060B">
            <w:pPr>
              <w:jc w:val="center"/>
              <w:rPr>
                <w:rFonts w:eastAsia="Calibri" w:cstheme="minorHAnsi"/>
                <w:color w:val="213368"/>
                <w:kern w:val="24"/>
                <w:sz w:val="22"/>
                <w:szCs w:val="22"/>
                <w:lang w:val="el-GR" w:eastAsia="el-GR"/>
              </w:rPr>
            </w:pPr>
            <w:r w:rsidRPr="0072060B">
              <w:rPr>
                <w:rFonts w:eastAsia="Calibri" w:cstheme="minorHAnsi"/>
                <w:color w:val="213368"/>
                <w:kern w:val="24"/>
                <w:sz w:val="22"/>
                <w:szCs w:val="22"/>
                <w:lang w:val="el-GR" w:eastAsia="el-GR"/>
              </w:rPr>
              <w:t>460,8</w:t>
            </w:r>
          </w:p>
        </w:tc>
        <w:tc>
          <w:tcPr>
            <w:tcW w:w="1200" w:type="dxa"/>
            <w:tcBorders>
              <w:top w:val="single" w:sz="4" w:space="0" w:color="1F3864" w:themeColor="accent1" w:themeShade="80"/>
              <w:left w:val="nil"/>
              <w:bottom w:val="single" w:sz="4" w:space="0" w:color="1F3864" w:themeColor="accent1" w:themeShade="80"/>
              <w:right w:val="nil"/>
            </w:tcBorders>
            <w:shd w:val="clear" w:color="auto" w:fill="F0F3FA"/>
            <w:tcMar>
              <w:top w:w="13" w:type="dxa"/>
              <w:left w:w="13" w:type="dxa"/>
              <w:bottom w:w="0" w:type="dxa"/>
              <w:right w:w="13" w:type="dxa"/>
            </w:tcMar>
            <w:vAlign w:val="bottom"/>
          </w:tcPr>
          <w:p w14:paraId="7263672D" w14:textId="6F85F355" w:rsidR="0072060B" w:rsidRPr="00C268DC" w:rsidRDefault="0072060B" w:rsidP="0072060B">
            <w:pPr>
              <w:jc w:val="center"/>
              <w:rPr>
                <w:rFonts w:eastAsia="Calibri" w:cstheme="minorHAnsi"/>
                <w:color w:val="213368"/>
                <w:kern w:val="24"/>
                <w:sz w:val="22"/>
                <w:szCs w:val="22"/>
                <w:lang w:val="el-GR" w:eastAsia="el-GR"/>
              </w:rPr>
            </w:pPr>
            <w:r w:rsidRPr="00790B43">
              <w:rPr>
                <w:rFonts w:eastAsia="Calibri" w:cstheme="minorHAnsi"/>
                <w:color w:val="213368"/>
                <w:kern w:val="24"/>
                <w:sz w:val="22"/>
                <w:szCs w:val="22"/>
                <w:lang w:val="el-GR" w:eastAsia="el-GR"/>
              </w:rPr>
              <w:t>591,1</w:t>
            </w:r>
          </w:p>
        </w:tc>
      </w:tr>
    </w:tbl>
    <w:p w14:paraId="128A54C1" w14:textId="77777777" w:rsidR="00D36555" w:rsidRDefault="00D36555" w:rsidP="00D36555">
      <w:pPr>
        <w:jc w:val="both"/>
        <w:rPr>
          <w:rFonts w:cstheme="minorHAnsi"/>
          <w:color w:val="243587"/>
          <w:sz w:val="20"/>
          <w:szCs w:val="20"/>
          <w:lang w:val="el-GR"/>
        </w:rPr>
      </w:pPr>
    </w:p>
    <w:p w14:paraId="40749D89" w14:textId="77777777" w:rsidR="00D36555" w:rsidRDefault="00D36555" w:rsidP="00D36555">
      <w:pPr>
        <w:jc w:val="both"/>
        <w:rPr>
          <w:rFonts w:cstheme="minorHAnsi"/>
          <w:color w:val="243587"/>
          <w:sz w:val="20"/>
          <w:szCs w:val="20"/>
          <w:lang w:val="el-GR"/>
        </w:rPr>
      </w:pPr>
      <w:r w:rsidRPr="00001381">
        <w:rPr>
          <w:rFonts w:cstheme="minorHAnsi"/>
          <w:color w:val="243587"/>
          <w:sz w:val="20"/>
          <w:szCs w:val="20"/>
          <w:lang w:val="el-GR"/>
        </w:rPr>
        <w:t xml:space="preserve">Σημείωση: </w:t>
      </w:r>
    </w:p>
    <w:p w14:paraId="7E97B1BE" w14:textId="54CC7732" w:rsidR="00D36555" w:rsidRPr="00D36555" w:rsidRDefault="00D36555" w:rsidP="00D36555">
      <w:pPr>
        <w:jc w:val="both"/>
        <w:rPr>
          <w:rFonts w:cstheme="minorHAnsi"/>
          <w:color w:val="243587"/>
          <w:sz w:val="20"/>
          <w:szCs w:val="20"/>
          <w:lang w:val="el-GR"/>
        </w:rPr>
      </w:pPr>
      <w:r w:rsidRPr="00001381">
        <w:rPr>
          <w:rFonts w:cstheme="minorHAnsi"/>
          <w:color w:val="243587"/>
          <w:sz w:val="20"/>
          <w:szCs w:val="20"/>
          <w:vertAlign w:val="superscript"/>
          <w:lang w:val="el-GR"/>
        </w:rPr>
        <w:t>1.</w:t>
      </w:r>
      <w:r w:rsidRPr="00001381">
        <w:rPr>
          <w:rFonts w:cstheme="minorHAnsi"/>
          <w:color w:val="243587"/>
          <w:sz w:val="20"/>
          <w:szCs w:val="20"/>
          <w:lang w:val="el-GR"/>
        </w:rPr>
        <w:t xml:space="preserve"> Περιλαμβάνει δεσμευμένες καταθέσεις </w:t>
      </w:r>
      <w:r>
        <w:rPr>
          <w:rFonts w:cstheme="minorHAnsi"/>
          <w:color w:val="243587"/>
          <w:sz w:val="20"/>
          <w:szCs w:val="20"/>
          <w:lang w:val="el-GR"/>
        </w:rPr>
        <w:t>και χρηματοοικονομικά περιουσιακά στοιχεία.</w:t>
      </w:r>
    </w:p>
    <w:p w14:paraId="50BCD2BA" w14:textId="4FDFAC99" w:rsidR="009858AE" w:rsidRPr="00D36555" w:rsidRDefault="009858AE" w:rsidP="00645A95">
      <w:pPr>
        <w:spacing w:after="120"/>
        <w:jc w:val="both"/>
        <w:rPr>
          <w:rFonts w:cstheme="minorHAnsi"/>
          <w:b/>
          <w:bCs/>
          <w:color w:val="243587"/>
          <w:sz w:val="22"/>
          <w:szCs w:val="22"/>
          <w:lang w:val="el-GR"/>
        </w:rPr>
      </w:pPr>
    </w:p>
    <w:p w14:paraId="52ED37E2" w14:textId="61D98A75" w:rsidR="009858AE" w:rsidRPr="00D36555" w:rsidRDefault="009858AE" w:rsidP="00645A95">
      <w:pPr>
        <w:spacing w:after="120"/>
        <w:jc w:val="both"/>
        <w:rPr>
          <w:rFonts w:cstheme="minorHAnsi"/>
          <w:b/>
          <w:bCs/>
          <w:color w:val="243587"/>
          <w:sz w:val="22"/>
          <w:szCs w:val="22"/>
          <w:lang w:val="el-GR"/>
        </w:rPr>
      </w:pPr>
    </w:p>
    <w:p w14:paraId="71A1A2B0" w14:textId="43059E9E" w:rsidR="009858AE" w:rsidRDefault="009858AE" w:rsidP="00645A95">
      <w:pPr>
        <w:spacing w:after="120"/>
        <w:jc w:val="both"/>
        <w:rPr>
          <w:rFonts w:cstheme="minorHAnsi"/>
          <w:b/>
          <w:bCs/>
          <w:color w:val="243587"/>
          <w:sz w:val="22"/>
          <w:szCs w:val="22"/>
          <w:lang w:val="el-GR"/>
        </w:rPr>
      </w:pPr>
    </w:p>
    <w:p w14:paraId="49A2EAFD" w14:textId="77777777" w:rsidR="00D36555" w:rsidRPr="00D36555" w:rsidRDefault="00D36555" w:rsidP="00645A95">
      <w:pPr>
        <w:spacing w:after="120"/>
        <w:jc w:val="both"/>
        <w:rPr>
          <w:rFonts w:cstheme="minorHAnsi"/>
          <w:b/>
          <w:bCs/>
          <w:color w:val="243587"/>
          <w:sz w:val="22"/>
          <w:szCs w:val="22"/>
          <w:lang w:val="el-GR"/>
        </w:rPr>
      </w:pPr>
    </w:p>
    <w:p w14:paraId="432BE4E0" w14:textId="05F843CA" w:rsidR="009858AE" w:rsidRPr="00D36555" w:rsidRDefault="009858AE" w:rsidP="00645A95">
      <w:pPr>
        <w:spacing w:after="120"/>
        <w:jc w:val="both"/>
        <w:rPr>
          <w:rFonts w:cstheme="minorHAnsi"/>
          <w:b/>
          <w:bCs/>
          <w:color w:val="243587"/>
          <w:sz w:val="22"/>
          <w:szCs w:val="22"/>
          <w:lang w:val="el-GR"/>
        </w:rPr>
      </w:pPr>
    </w:p>
    <w:p w14:paraId="204D4AC4" w14:textId="503A0563" w:rsidR="009858AE" w:rsidRPr="00D36555" w:rsidRDefault="009858AE" w:rsidP="00645A95">
      <w:pPr>
        <w:spacing w:after="120"/>
        <w:jc w:val="both"/>
        <w:rPr>
          <w:rFonts w:cstheme="minorHAnsi"/>
          <w:b/>
          <w:bCs/>
          <w:color w:val="243587"/>
          <w:sz w:val="22"/>
          <w:szCs w:val="22"/>
          <w:lang w:val="el-GR"/>
        </w:rPr>
      </w:pPr>
    </w:p>
    <w:p w14:paraId="1D40C0B6" w14:textId="77777777" w:rsidR="00313A0E" w:rsidRPr="0080512F" w:rsidRDefault="00313A0E" w:rsidP="00313A0E">
      <w:pPr>
        <w:spacing w:after="120"/>
        <w:jc w:val="both"/>
        <w:rPr>
          <w:rFonts w:cstheme="minorHAnsi"/>
          <w:b/>
          <w:bCs/>
          <w:color w:val="243587"/>
          <w:sz w:val="22"/>
          <w:szCs w:val="22"/>
          <w:lang w:val="el-GR"/>
        </w:rPr>
      </w:pPr>
      <w:r w:rsidRPr="0080512F">
        <w:rPr>
          <w:rFonts w:cstheme="minorHAnsi"/>
          <w:b/>
          <w:bCs/>
          <w:color w:val="243587"/>
          <w:sz w:val="22"/>
          <w:szCs w:val="22"/>
          <w:lang w:val="el-GR"/>
        </w:rPr>
        <w:lastRenderedPageBreak/>
        <w:t>Επιχειρησιακά μεγέθη Ομίλου</w:t>
      </w:r>
    </w:p>
    <w:tbl>
      <w:tblPr>
        <w:tblW w:w="10525" w:type="dxa"/>
        <w:tblCellMar>
          <w:left w:w="0" w:type="dxa"/>
          <w:right w:w="0" w:type="dxa"/>
        </w:tblCellMar>
        <w:tblLook w:val="04A0" w:firstRow="1" w:lastRow="0" w:firstColumn="1" w:lastColumn="0" w:noHBand="0" w:noVBand="1"/>
      </w:tblPr>
      <w:tblGrid>
        <w:gridCol w:w="5185"/>
        <w:gridCol w:w="1832"/>
        <w:gridCol w:w="1754"/>
        <w:gridCol w:w="1754"/>
      </w:tblGrid>
      <w:tr w:rsidR="000F4B80" w:rsidRPr="001526FF" w14:paraId="25CF7B13" w14:textId="77777777" w:rsidTr="009858AE">
        <w:trPr>
          <w:trHeight w:val="56"/>
        </w:trPr>
        <w:tc>
          <w:tcPr>
            <w:tcW w:w="5185" w:type="dxa"/>
            <w:tcBorders>
              <w:top w:val="nil"/>
              <w:left w:val="nil"/>
              <w:bottom w:val="nil"/>
              <w:right w:val="nil"/>
            </w:tcBorders>
            <w:shd w:val="clear" w:color="auto" w:fill="002677"/>
            <w:tcMar>
              <w:top w:w="13" w:type="dxa"/>
              <w:left w:w="97" w:type="dxa"/>
              <w:bottom w:w="0" w:type="dxa"/>
              <w:right w:w="97" w:type="dxa"/>
            </w:tcMar>
            <w:vAlign w:val="center"/>
          </w:tcPr>
          <w:p w14:paraId="582DBAF1" w14:textId="77777777" w:rsidR="000F4B80" w:rsidRPr="001526FF" w:rsidRDefault="000F4B80" w:rsidP="000F4B80">
            <w:pPr>
              <w:rPr>
                <w:rFonts w:eastAsia="Times New Roman" w:cstheme="minorHAnsi"/>
                <w:sz w:val="22"/>
                <w:szCs w:val="22"/>
                <w:lang w:val="en-US" w:eastAsia="el-GR"/>
              </w:rPr>
            </w:pPr>
            <w:bookmarkStart w:id="7" w:name="_Hlk129612799"/>
          </w:p>
        </w:tc>
        <w:tc>
          <w:tcPr>
            <w:tcW w:w="1832" w:type="dxa"/>
            <w:tcBorders>
              <w:top w:val="nil"/>
              <w:left w:val="nil"/>
              <w:bottom w:val="nil"/>
              <w:right w:val="nil"/>
            </w:tcBorders>
            <w:shd w:val="clear" w:color="auto" w:fill="002677"/>
            <w:vAlign w:val="center"/>
          </w:tcPr>
          <w:p w14:paraId="6D698B8F" w14:textId="77777777" w:rsidR="000F4B80" w:rsidRDefault="000F4B80" w:rsidP="000F4B80">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051BEF41" w14:textId="77777777" w:rsidR="000F4B80" w:rsidRPr="00AC7D65" w:rsidRDefault="000F4B80" w:rsidP="000F4B80">
            <w:pPr>
              <w:jc w:val="center"/>
              <w:rPr>
                <w:rFonts w:cstheme="minorHAnsi"/>
                <w:b/>
                <w:bCs/>
                <w:color w:val="FFFFFF" w:themeColor="background1"/>
                <w:kern w:val="24"/>
                <w:sz w:val="22"/>
                <w:szCs w:val="22"/>
                <w:lang w:val="en-US"/>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2</w:t>
            </w:r>
          </w:p>
        </w:tc>
        <w:tc>
          <w:tcPr>
            <w:tcW w:w="1754" w:type="dxa"/>
            <w:tcBorders>
              <w:top w:val="nil"/>
              <w:left w:val="nil"/>
              <w:bottom w:val="nil"/>
              <w:right w:val="nil"/>
            </w:tcBorders>
            <w:shd w:val="clear" w:color="auto" w:fill="002677"/>
            <w:vAlign w:val="center"/>
          </w:tcPr>
          <w:p w14:paraId="1BB63F4C" w14:textId="77777777" w:rsidR="000F4B80" w:rsidRDefault="000F4B80" w:rsidP="000F4B80">
            <w:pPr>
              <w:jc w:val="center"/>
              <w:rPr>
                <w:rFonts w:cstheme="minorHAnsi"/>
                <w:color w:val="FFFFFF" w:themeColor="background1"/>
                <w:kern w:val="24"/>
                <w:sz w:val="22"/>
                <w:szCs w:val="22"/>
                <w:lang w:val="el-GR"/>
              </w:rPr>
            </w:pPr>
            <w:r>
              <w:rPr>
                <w:rFonts w:cstheme="minorHAnsi"/>
                <w:color w:val="FFFFFF" w:themeColor="background1"/>
                <w:kern w:val="24"/>
                <w:sz w:val="22"/>
                <w:szCs w:val="22"/>
                <w:lang w:val="el-GR"/>
              </w:rPr>
              <w:t>Πρώτο</w:t>
            </w:r>
          </w:p>
          <w:p w14:paraId="39A7004E" w14:textId="77777777" w:rsidR="000F4B80" w:rsidRPr="00AC7D65" w:rsidRDefault="000F4B80" w:rsidP="000F4B80">
            <w:pPr>
              <w:jc w:val="center"/>
              <w:rPr>
                <w:rFonts w:cstheme="minorHAnsi"/>
                <w:b/>
                <w:bCs/>
                <w:color w:val="FFFFFF" w:themeColor="background1"/>
                <w:kern w:val="24"/>
                <w:sz w:val="22"/>
                <w:szCs w:val="22"/>
                <w:lang w:val="en-US"/>
              </w:rPr>
            </w:pPr>
            <w:r>
              <w:rPr>
                <w:rFonts w:cstheme="minorHAnsi"/>
                <w:color w:val="FFFFFF" w:themeColor="background1"/>
                <w:kern w:val="24"/>
                <w:sz w:val="22"/>
                <w:szCs w:val="22"/>
                <w:lang w:val="el-GR"/>
              </w:rPr>
              <w:t xml:space="preserve">Τρίμηνο </w:t>
            </w:r>
            <w:r>
              <w:rPr>
                <w:rFonts w:cstheme="minorHAnsi"/>
                <w:color w:val="FFFFFF" w:themeColor="background1"/>
                <w:kern w:val="24"/>
                <w:sz w:val="22"/>
                <w:szCs w:val="22"/>
              </w:rPr>
              <w:t>202</w:t>
            </w:r>
            <w:r>
              <w:rPr>
                <w:rFonts w:cstheme="minorHAnsi"/>
                <w:color w:val="FFFFFF" w:themeColor="background1"/>
                <w:kern w:val="24"/>
                <w:sz w:val="22"/>
                <w:szCs w:val="22"/>
                <w:lang w:val="el-GR"/>
              </w:rPr>
              <w:t>3</w:t>
            </w:r>
          </w:p>
        </w:tc>
        <w:tc>
          <w:tcPr>
            <w:tcW w:w="1754" w:type="dxa"/>
            <w:tcBorders>
              <w:top w:val="nil"/>
              <w:left w:val="nil"/>
              <w:bottom w:val="nil"/>
              <w:right w:val="nil"/>
            </w:tcBorders>
            <w:shd w:val="clear" w:color="auto" w:fill="002677"/>
            <w:vAlign w:val="center"/>
          </w:tcPr>
          <w:p w14:paraId="56C384EE" w14:textId="77777777" w:rsidR="000F4B80" w:rsidRPr="00AC7D65" w:rsidRDefault="000F4B80" w:rsidP="000F4B80">
            <w:pPr>
              <w:jc w:val="center"/>
              <w:rPr>
                <w:rFonts w:cstheme="minorHAnsi"/>
                <w:b/>
                <w:bCs/>
                <w:color w:val="FFFFFF" w:themeColor="background1"/>
                <w:kern w:val="24"/>
                <w:sz w:val="22"/>
                <w:szCs w:val="22"/>
                <w:lang w:val="en-US"/>
              </w:rPr>
            </w:pPr>
            <w:r>
              <w:rPr>
                <w:rFonts w:cstheme="minorHAnsi"/>
                <w:color w:val="FFFFFF" w:themeColor="background1"/>
                <w:kern w:val="24"/>
                <w:sz w:val="22"/>
                <w:szCs w:val="22"/>
              </w:rPr>
              <w:t>%</w:t>
            </w:r>
            <w:r>
              <w:rPr>
                <w:rFonts w:cstheme="minorHAnsi"/>
                <w:color w:val="FFFFFF" w:themeColor="background1"/>
                <w:kern w:val="24"/>
                <w:sz w:val="22"/>
                <w:szCs w:val="22"/>
                <w:lang w:val="el-GR"/>
              </w:rPr>
              <w:t xml:space="preserve"> </w:t>
            </w:r>
            <w:proofErr w:type="spellStart"/>
            <w:r>
              <w:rPr>
                <w:rFonts w:cstheme="minorHAnsi"/>
                <w:color w:val="FFFFFF" w:themeColor="background1"/>
                <w:kern w:val="24"/>
                <w:sz w:val="22"/>
                <w:szCs w:val="22"/>
                <w:lang w:val="el-GR"/>
              </w:rPr>
              <w:t>μτβ</w:t>
            </w:r>
            <w:proofErr w:type="spellEnd"/>
          </w:p>
        </w:tc>
      </w:tr>
      <w:tr w:rsidR="000F4B80" w:rsidRPr="001526FF" w14:paraId="02E48BD5"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23B14EDD" w14:textId="77777777" w:rsidR="000F4B80" w:rsidRPr="00193535" w:rsidRDefault="000F4B80" w:rsidP="001A327E">
            <w:pPr>
              <w:rPr>
                <w:rFonts w:cstheme="minorHAnsi"/>
                <w:b/>
                <w:bCs/>
                <w:color w:val="243587"/>
                <w:sz w:val="22"/>
                <w:szCs w:val="22"/>
                <w:lang w:val="el-GR"/>
              </w:rPr>
            </w:pPr>
            <w:r>
              <w:rPr>
                <w:rFonts w:cstheme="minorHAnsi"/>
                <w:b/>
                <w:bCs/>
                <w:color w:val="243587"/>
                <w:sz w:val="22"/>
                <w:szCs w:val="22"/>
                <w:lang w:val="el-GR"/>
              </w:rPr>
              <w:t>Χωρητικότητα</w:t>
            </w:r>
          </w:p>
        </w:tc>
        <w:tc>
          <w:tcPr>
            <w:tcW w:w="1832" w:type="dxa"/>
            <w:tcBorders>
              <w:top w:val="nil"/>
              <w:left w:val="nil"/>
              <w:bottom w:val="nil"/>
              <w:right w:val="nil"/>
            </w:tcBorders>
            <w:vAlign w:val="center"/>
          </w:tcPr>
          <w:p w14:paraId="642B2849" w14:textId="77777777" w:rsidR="000F4B80" w:rsidRPr="001526FF" w:rsidRDefault="000F4B80" w:rsidP="001A327E">
            <w:pPr>
              <w:jc w:val="center"/>
              <w:textAlignment w:val="bottom"/>
              <w:rPr>
                <w:rFonts w:eastAsia="Times New Roman" w:cstheme="minorHAnsi"/>
                <w:sz w:val="22"/>
                <w:szCs w:val="22"/>
                <w:lang w:val="el-GR" w:eastAsia="el-GR"/>
              </w:rPr>
            </w:pPr>
          </w:p>
        </w:tc>
        <w:tc>
          <w:tcPr>
            <w:tcW w:w="1754" w:type="dxa"/>
            <w:tcBorders>
              <w:top w:val="nil"/>
              <w:left w:val="nil"/>
              <w:bottom w:val="nil"/>
              <w:right w:val="nil"/>
            </w:tcBorders>
            <w:shd w:val="clear" w:color="auto" w:fill="EEF1F8"/>
            <w:vAlign w:val="center"/>
          </w:tcPr>
          <w:p w14:paraId="66B5549B" w14:textId="77777777" w:rsidR="000F4B80" w:rsidRPr="001526FF" w:rsidRDefault="000F4B80" w:rsidP="001A327E">
            <w:pPr>
              <w:jc w:val="center"/>
              <w:textAlignment w:val="bottom"/>
              <w:rPr>
                <w:rFonts w:eastAsia="Times New Roman" w:cstheme="minorHAnsi"/>
                <w:sz w:val="22"/>
                <w:szCs w:val="22"/>
                <w:lang w:val="el-GR" w:eastAsia="el-GR"/>
              </w:rPr>
            </w:pPr>
          </w:p>
        </w:tc>
        <w:tc>
          <w:tcPr>
            <w:tcW w:w="1754" w:type="dxa"/>
            <w:tcBorders>
              <w:top w:val="nil"/>
              <w:left w:val="nil"/>
              <w:bottom w:val="nil"/>
              <w:right w:val="nil"/>
            </w:tcBorders>
            <w:vAlign w:val="center"/>
          </w:tcPr>
          <w:p w14:paraId="557BA137" w14:textId="77777777" w:rsidR="000F4B80" w:rsidRPr="001526FF" w:rsidRDefault="000F4B80" w:rsidP="001A327E">
            <w:pPr>
              <w:jc w:val="center"/>
              <w:textAlignment w:val="bottom"/>
              <w:rPr>
                <w:rFonts w:eastAsia="Times New Roman" w:cstheme="minorHAnsi"/>
                <w:sz w:val="22"/>
                <w:szCs w:val="22"/>
                <w:lang w:val="el-GR" w:eastAsia="el-GR"/>
              </w:rPr>
            </w:pPr>
          </w:p>
        </w:tc>
      </w:tr>
      <w:tr w:rsidR="00874556" w:rsidRPr="001526FF" w14:paraId="2F81933B"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14D51D7C" w14:textId="77777777" w:rsidR="00874556" w:rsidRPr="001526FF" w:rsidRDefault="00874556" w:rsidP="00874556">
            <w:pPr>
              <w:rPr>
                <w:rFonts w:cstheme="minorHAnsi"/>
                <w:color w:val="243587"/>
                <w:sz w:val="22"/>
                <w:szCs w:val="22"/>
              </w:rPr>
            </w:pPr>
            <w:r w:rsidRPr="001526FF">
              <w:rPr>
                <w:rFonts w:cstheme="minorHAnsi"/>
                <w:color w:val="243587"/>
                <w:sz w:val="22"/>
                <w:szCs w:val="22"/>
              </w:rPr>
              <w:t xml:space="preserve">  </w:t>
            </w:r>
            <w:r>
              <w:rPr>
                <w:rFonts w:cstheme="minorHAnsi"/>
                <w:color w:val="243587"/>
                <w:sz w:val="22"/>
                <w:szCs w:val="22"/>
                <w:lang w:val="el-GR"/>
              </w:rPr>
              <w:t>Χιλιομετρικές Θέσεις</w:t>
            </w:r>
            <w:r w:rsidRPr="001526FF">
              <w:rPr>
                <w:rFonts w:cstheme="minorHAnsi"/>
                <w:color w:val="243587"/>
                <w:sz w:val="22"/>
                <w:szCs w:val="22"/>
              </w:rPr>
              <w:t xml:space="preserve"> (</w:t>
            </w:r>
            <w:r>
              <w:rPr>
                <w:rFonts w:cstheme="minorHAnsi"/>
                <w:color w:val="243587"/>
                <w:sz w:val="22"/>
                <w:szCs w:val="22"/>
                <w:lang w:val="el-GR"/>
              </w:rPr>
              <w:t xml:space="preserve">σε </w:t>
            </w:r>
            <w:proofErr w:type="spellStart"/>
            <w:r>
              <w:rPr>
                <w:rFonts w:cstheme="minorHAnsi"/>
                <w:color w:val="243587"/>
                <w:sz w:val="22"/>
                <w:szCs w:val="22"/>
                <w:lang w:val="el-GR"/>
              </w:rPr>
              <w:t>εκατ</w:t>
            </w:r>
            <w:proofErr w:type="spellEnd"/>
            <w:r w:rsidRPr="001526FF">
              <w:rPr>
                <w:rFonts w:cstheme="minorHAnsi"/>
                <w:color w:val="243587"/>
                <w:sz w:val="22"/>
                <w:szCs w:val="22"/>
              </w:rPr>
              <w:t xml:space="preserve">) </w:t>
            </w:r>
          </w:p>
        </w:tc>
        <w:tc>
          <w:tcPr>
            <w:tcW w:w="1832" w:type="dxa"/>
            <w:tcBorders>
              <w:top w:val="nil"/>
              <w:left w:val="nil"/>
              <w:bottom w:val="nil"/>
              <w:right w:val="nil"/>
            </w:tcBorders>
            <w:vAlign w:val="center"/>
          </w:tcPr>
          <w:p w14:paraId="4ED8CCE1"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2.211</w:t>
            </w:r>
          </w:p>
        </w:tc>
        <w:tc>
          <w:tcPr>
            <w:tcW w:w="1754" w:type="dxa"/>
            <w:tcBorders>
              <w:top w:val="nil"/>
              <w:left w:val="nil"/>
              <w:bottom w:val="nil"/>
              <w:right w:val="nil"/>
            </w:tcBorders>
            <w:shd w:val="clear" w:color="auto" w:fill="EEF1F8"/>
            <w:vAlign w:val="center"/>
          </w:tcPr>
          <w:p w14:paraId="6E38B25F"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3.340</w:t>
            </w:r>
          </w:p>
        </w:tc>
        <w:tc>
          <w:tcPr>
            <w:tcW w:w="1754" w:type="dxa"/>
            <w:tcBorders>
              <w:top w:val="nil"/>
              <w:left w:val="nil"/>
              <w:bottom w:val="nil"/>
              <w:right w:val="nil"/>
            </w:tcBorders>
            <w:vAlign w:val="center"/>
          </w:tcPr>
          <w:p w14:paraId="101FD02A"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51%</w:t>
            </w:r>
          </w:p>
        </w:tc>
      </w:tr>
      <w:tr w:rsidR="00874556" w:rsidRPr="001526FF" w14:paraId="34DED770"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18FA0C36" w14:textId="77777777" w:rsidR="00874556" w:rsidRPr="001526FF" w:rsidRDefault="00874556" w:rsidP="00874556">
            <w:pPr>
              <w:rPr>
                <w:rFonts w:cstheme="minorHAnsi"/>
                <w:color w:val="243587"/>
                <w:sz w:val="22"/>
                <w:szCs w:val="22"/>
              </w:rPr>
            </w:pPr>
            <w:r w:rsidRPr="001526FF">
              <w:rPr>
                <w:rFonts w:cstheme="minorHAnsi"/>
                <w:color w:val="243587"/>
                <w:sz w:val="22"/>
                <w:szCs w:val="22"/>
              </w:rPr>
              <w:t xml:space="preserve">  </w:t>
            </w:r>
            <w:r>
              <w:rPr>
                <w:rFonts w:cstheme="minorHAnsi"/>
                <w:color w:val="243587"/>
                <w:sz w:val="22"/>
                <w:szCs w:val="22"/>
                <w:lang w:val="el-GR"/>
              </w:rPr>
              <w:t>Διαθέσιμες Θέσεις</w:t>
            </w:r>
            <w:r w:rsidRPr="001526FF">
              <w:rPr>
                <w:rFonts w:cstheme="minorHAnsi"/>
                <w:color w:val="243587"/>
                <w:sz w:val="22"/>
                <w:szCs w:val="22"/>
              </w:rPr>
              <w:t xml:space="preserve"> (000)</w:t>
            </w:r>
          </w:p>
        </w:tc>
        <w:tc>
          <w:tcPr>
            <w:tcW w:w="1832" w:type="dxa"/>
            <w:tcBorders>
              <w:top w:val="nil"/>
              <w:left w:val="nil"/>
              <w:bottom w:val="nil"/>
              <w:right w:val="nil"/>
            </w:tcBorders>
            <w:vAlign w:val="center"/>
          </w:tcPr>
          <w:p w14:paraId="4BB33BEC"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2.313</w:t>
            </w:r>
          </w:p>
        </w:tc>
        <w:tc>
          <w:tcPr>
            <w:tcW w:w="1754" w:type="dxa"/>
            <w:tcBorders>
              <w:top w:val="nil"/>
              <w:left w:val="nil"/>
              <w:bottom w:val="nil"/>
              <w:right w:val="nil"/>
            </w:tcBorders>
            <w:shd w:val="clear" w:color="auto" w:fill="EEF1F8"/>
            <w:vAlign w:val="center"/>
          </w:tcPr>
          <w:p w14:paraId="360EB170"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3.236</w:t>
            </w:r>
          </w:p>
        </w:tc>
        <w:tc>
          <w:tcPr>
            <w:tcW w:w="1754" w:type="dxa"/>
            <w:tcBorders>
              <w:top w:val="nil"/>
              <w:left w:val="nil"/>
              <w:bottom w:val="nil"/>
              <w:right w:val="nil"/>
            </w:tcBorders>
            <w:vAlign w:val="center"/>
          </w:tcPr>
          <w:p w14:paraId="6CB9F452"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40%</w:t>
            </w:r>
          </w:p>
        </w:tc>
      </w:tr>
      <w:tr w:rsidR="00874556" w:rsidRPr="001526FF" w14:paraId="342DD50E"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63FBC205" w14:textId="77777777" w:rsidR="00874556" w:rsidRPr="001526FF" w:rsidRDefault="00874556" w:rsidP="00874556">
            <w:pPr>
              <w:rPr>
                <w:rFonts w:cstheme="minorHAnsi"/>
                <w:color w:val="243587"/>
                <w:sz w:val="22"/>
                <w:szCs w:val="22"/>
              </w:rPr>
            </w:pPr>
            <w:r w:rsidRPr="001526FF">
              <w:rPr>
                <w:rFonts w:cstheme="minorHAnsi"/>
                <w:color w:val="243587"/>
                <w:sz w:val="22"/>
                <w:szCs w:val="22"/>
              </w:rPr>
              <w:t xml:space="preserve">  </w:t>
            </w:r>
            <w:r>
              <w:rPr>
                <w:rFonts w:cstheme="minorHAnsi"/>
                <w:color w:val="243587"/>
                <w:sz w:val="22"/>
                <w:szCs w:val="22"/>
                <w:lang w:val="el-GR"/>
              </w:rPr>
              <w:t>Ώρες Πτήσεων (</w:t>
            </w:r>
            <w:r>
              <w:rPr>
                <w:rFonts w:cstheme="minorHAnsi"/>
                <w:color w:val="243587"/>
                <w:sz w:val="22"/>
                <w:szCs w:val="22"/>
                <w:lang w:val="en-US"/>
              </w:rPr>
              <w:t>Block hours)</w:t>
            </w:r>
            <w:r w:rsidRPr="001526FF">
              <w:rPr>
                <w:rFonts w:cstheme="minorHAnsi"/>
                <w:color w:val="243587"/>
                <w:sz w:val="22"/>
                <w:szCs w:val="22"/>
              </w:rPr>
              <w:t xml:space="preserve"> </w:t>
            </w:r>
          </w:p>
        </w:tc>
        <w:tc>
          <w:tcPr>
            <w:tcW w:w="1832" w:type="dxa"/>
            <w:tcBorders>
              <w:top w:val="nil"/>
              <w:left w:val="nil"/>
              <w:bottom w:val="nil"/>
              <w:right w:val="nil"/>
            </w:tcBorders>
            <w:vAlign w:val="center"/>
          </w:tcPr>
          <w:p w14:paraId="4C4F2DF4"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23.347</w:t>
            </w:r>
          </w:p>
        </w:tc>
        <w:tc>
          <w:tcPr>
            <w:tcW w:w="1754" w:type="dxa"/>
            <w:tcBorders>
              <w:top w:val="nil"/>
              <w:left w:val="nil"/>
              <w:bottom w:val="nil"/>
              <w:right w:val="nil"/>
            </w:tcBorders>
            <w:shd w:val="clear" w:color="auto" w:fill="EEF1F8"/>
            <w:vAlign w:val="center"/>
          </w:tcPr>
          <w:p w14:paraId="14A2D850"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33.783</w:t>
            </w:r>
          </w:p>
        </w:tc>
        <w:tc>
          <w:tcPr>
            <w:tcW w:w="1754" w:type="dxa"/>
            <w:tcBorders>
              <w:top w:val="nil"/>
              <w:left w:val="nil"/>
              <w:bottom w:val="nil"/>
              <w:right w:val="nil"/>
            </w:tcBorders>
            <w:vAlign w:val="center"/>
          </w:tcPr>
          <w:p w14:paraId="46513367"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45%</w:t>
            </w:r>
          </w:p>
        </w:tc>
      </w:tr>
      <w:tr w:rsidR="00874556" w:rsidRPr="001526FF" w14:paraId="3922F41F"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5D533D5F" w14:textId="77777777" w:rsidR="00874556" w:rsidRPr="00193535" w:rsidRDefault="00874556" w:rsidP="00874556">
            <w:pPr>
              <w:rPr>
                <w:rFonts w:cstheme="minorHAnsi"/>
                <w:color w:val="243587"/>
                <w:sz w:val="22"/>
                <w:szCs w:val="22"/>
                <w:lang w:val="el-GR"/>
              </w:rPr>
            </w:pPr>
            <w:r w:rsidRPr="001526FF">
              <w:rPr>
                <w:rFonts w:cstheme="minorHAnsi"/>
                <w:color w:val="243587"/>
                <w:sz w:val="22"/>
                <w:szCs w:val="22"/>
              </w:rPr>
              <w:t xml:space="preserve">   </w:t>
            </w:r>
            <w:r>
              <w:rPr>
                <w:rFonts w:cstheme="minorHAnsi"/>
                <w:color w:val="243587"/>
                <w:sz w:val="22"/>
                <w:szCs w:val="22"/>
                <w:lang w:val="el-GR"/>
              </w:rPr>
              <w:t>Πτήσεις</w:t>
            </w:r>
          </w:p>
        </w:tc>
        <w:tc>
          <w:tcPr>
            <w:tcW w:w="1832" w:type="dxa"/>
            <w:tcBorders>
              <w:top w:val="nil"/>
              <w:left w:val="nil"/>
              <w:bottom w:val="nil"/>
              <w:right w:val="nil"/>
            </w:tcBorders>
            <w:vAlign w:val="center"/>
          </w:tcPr>
          <w:p w14:paraId="5D6643B2"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15.104</w:t>
            </w:r>
          </w:p>
        </w:tc>
        <w:tc>
          <w:tcPr>
            <w:tcW w:w="1754" w:type="dxa"/>
            <w:tcBorders>
              <w:top w:val="nil"/>
              <w:left w:val="nil"/>
              <w:bottom w:val="nil"/>
              <w:right w:val="nil"/>
            </w:tcBorders>
            <w:shd w:val="clear" w:color="auto" w:fill="EEF1F8"/>
            <w:vAlign w:val="center"/>
          </w:tcPr>
          <w:p w14:paraId="373FE9DE"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20.446</w:t>
            </w:r>
          </w:p>
        </w:tc>
        <w:tc>
          <w:tcPr>
            <w:tcW w:w="1754" w:type="dxa"/>
            <w:tcBorders>
              <w:top w:val="nil"/>
              <w:left w:val="nil"/>
              <w:bottom w:val="nil"/>
              <w:right w:val="nil"/>
            </w:tcBorders>
            <w:vAlign w:val="center"/>
          </w:tcPr>
          <w:p w14:paraId="29FBBA33"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35%</w:t>
            </w:r>
          </w:p>
        </w:tc>
      </w:tr>
      <w:tr w:rsidR="00874556" w:rsidRPr="001526FF" w14:paraId="62229C4C" w14:textId="77777777" w:rsidTr="009858AE">
        <w:trPr>
          <w:trHeight w:val="35"/>
        </w:trPr>
        <w:tc>
          <w:tcPr>
            <w:tcW w:w="5185" w:type="dxa"/>
            <w:tcBorders>
              <w:top w:val="nil"/>
              <w:left w:val="nil"/>
              <w:right w:val="nil"/>
            </w:tcBorders>
            <w:shd w:val="clear" w:color="auto" w:fill="auto"/>
            <w:tcMar>
              <w:top w:w="13" w:type="dxa"/>
              <w:left w:w="97" w:type="dxa"/>
              <w:bottom w:w="0" w:type="dxa"/>
              <w:right w:w="97" w:type="dxa"/>
            </w:tcMar>
            <w:vAlign w:val="center"/>
          </w:tcPr>
          <w:p w14:paraId="0CFC0894" w14:textId="77777777" w:rsidR="00874556" w:rsidRPr="00193535" w:rsidRDefault="00874556" w:rsidP="00874556">
            <w:pPr>
              <w:rPr>
                <w:rFonts w:cstheme="minorHAnsi"/>
                <w:color w:val="243587"/>
                <w:sz w:val="22"/>
                <w:szCs w:val="22"/>
                <w:lang w:val="el-GR"/>
              </w:rPr>
            </w:pPr>
            <w:r w:rsidRPr="00193535">
              <w:rPr>
                <w:rFonts w:cstheme="minorHAnsi"/>
                <w:color w:val="243587"/>
                <w:sz w:val="22"/>
                <w:szCs w:val="22"/>
                <w:lang w:val="el-GR"/>
              </w:rPr>
              <w:t xml:space="preserve">  </w:t>
            </w:r>
            <w:r>
              <w:rPr>
                <w:rFonts w:cstheme="minorHAnsi"/>
                <w:color w:val="243587"/>
                <w:sz w:val="22"/>
                <w:szCs w:val="22"/>
                <w:lang w:val="el-GR"/>
              </w:rPr>
              <w:t>Μέσος αριθμός θέσεων ανά πτήση</w:t>
            </w:r>
            <w:r w:rsidRPr="00193535">
              <w:rPr>
                <w:rFonts w:cstheme="minorHAnsi"/>
                <w:color w:val="243587"/>
                <w:sz w:val="22"/>
                <w:szCs w:val="22"/>
                <w:lang w:val="el-GR"/>
              </w:rPr>
              <w:t xml:space="preserve"> </w:t>
            </w:r>
          </w:p>
        </w:tc>
        <w:tc>
          <w:tcPr>
            <w:tcW w:w="1832" w:type="dxa"/>
            <w:tcBorders>
              <w:top w:val="nil"/>
              <w:left w:val="nil"/>
              <w:right w:val="nil"/>
            </w:tcBorders>
            <w:vAlign w:val="center"/>
          </w:tcPr>
          <w:p w14:paraId="3BE1DBE6" w14:textId="77777777" w:rsidR="00874556" w:rsidRPr="00A60692"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153</w:t>
            </w:r>
          </w:p>
        </w:tc>
        <w:tc>
          <w:tcPr>
            <w:tcW w:w="1754" w:type="dxa"/>
            <w:tcBorders>
              <w:top w:val="nil"/>
              <w:left w:val="nil"/>
              <w:right w:val="nil"/>
            </w:tcBorders>
            <w:shd w:val="clear" w:color="auto" w:fill="EEF1F8"/>
            <w:vAlign w:val="center"/>
          </w:tcPr>
          <w:p w14:paraId="62BDE0FE" w14:textId="77777777" w:rsidR="00874556" w:rsidRPr="00A60692"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158</w:t>
            </w:r>
          </w:p>
        </w:tc>
        <w:tc>
          <w:tcPr>
            <w:tcW w:w="1754" w:type="dxa"/>
            <w:tcBorders>
              <w:top w:val="nil"/>
              <w:left w:val="nil"/>
              <w:right w:val="nil"/>
            </w:tcBorders>
            <w:vAlign w:val="center"/>
          </w:tcPr>
          <w:p w14:paraId="296D5355" w14:textId="77777777" w:rsidR="00874556" w:rsidRPr="00A60692"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3%</w:t>
            </w:r>
          </w:p>
        </w:tc>
      </w:tr>
      <w:tr w:rsidR="00874556" w:rsidRPr="001526FF" w14:paraId="43C02813" w14:textId="77777777" w:rsidTr="009858AE">
        <w:trPr>
          <w:trHeight w:val="35"/>
        </w:trPr>
        <w:tc>
          <w:tcPr>
            <w:tcW w:w="518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64D30731" w14:textId="77777777" w:rsidR="00874556" w:rsidRPr="001526FF" w:rsidRDefault="00874556" w:rsidP="00874556">
            <w:pPr>
              <w:rPr>
                <w:rFonts w:cstheme="minorHAnsi"/>
                <w:color w:val="243587"/>
                <w:sz w:val="22"/>
                <w:szCs w:val="22"/>
              </w:rPr>
            </w:pPr>
            <w:r w:rsidRPr="001526FF">
              <w:rPr>
                <w:rFonts w:cstheme="minorHAnsi"/>
                <w:color w:val="243587"/>
                <w:sz w:val="22"/>
                <w:szCs w:val="22"/>
              </w:rPr>
              <w:t xml:space="preserve">  </w:t>
            </w:r>
            <w:r>
              <w:rPr>
                <w:rFonts w:cstheme="minorHAnsi"/>
                <w:color w:val="243587"/>
                <w:sz w:val="22"/>
                <w:szCs w:val="22"/>
                <w:lang w:val="el-GR"/>
              </w:rPr>
              <w:t>Μέση απόσταση πτήσεων</w:t>
            </w:r>
            <w:r w:rsidRPr="001526FF">
              <w:rPr>
                <w:rFonts w:cstheme="minorHAnsi"/>
                <w:color w:val="243587"/>
                <w:sz w:val="22"/>
                <w:szCs w:val="22"/>
              </w:rPr>
              <w:t xml:space="preserve"> (km)</w:t>
            </w:r>
          </w:p>
        </w:tc>
        <w:tc>
          <w:tcPr>
            <w:tcW w:w="1832" w:type="dxa"/>
            <w:tcBorders>
              <w:top w:val="nil"/>
              <w:left w:val="nil"/>
              <w:bottom w:val="single" w:sz="4" w:space="0" w:color="1F3864" w:themeColor="accent1" w:themeShade="80"/>
              <w:right w:val="nil"/>
            </w:tcBorders>
            <w:vAlign w:val="center"/>
          </w:tcPr>
          <w:p w14:paraId="0EC7DF1C"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829</w:t>
            </w:r>
          </w:p>
        </w:tc>
        <w:tc>
          <w:tcPr>
            <w:tcW w:w="1754" w:type="dxa"/>
            <w:tcBorders>
              <w:top w:val="nil"/>
              <w:left w:val="nil"/>
              <w:bottom w:val="single" w:sz="4" w:space="0" w:color="1F3864" w:themeColor="accent1" w:themeShade="80"/>
              <w:right w:val="nil"/>
            </w:tcBorders>
            <w:shd w:val="clear" w:color="auto" w:fill="EEF1F8"/>
            <w:vAlign w:val="center"/>
          </w:tcPr>
          <w:p w14:paraId="24C6F5C3"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891</w:t>
            </w:r>
          </w:p>
        </w:tc>
        <w:tc>
          <w:tcPr>
            <w:tcW w:w="1754" w:type="dxa"/>
            <w:tcBorders>
              <w:top w:val="nil"/>
              <w:left w:val="nil"/>
              <w:bottom w:val="single" w:sz="4" w:space="0" w:color="1F3864" w:themeColor="accent1" w:themeShade="80"/>
              <w:right w:val="nil"/>
            </w:tcBorders>
            <w:vAlign w:val="center"/>
          </w:tcPr>
          <w:p w14:paraId="7FCF0357" w14:textId="7C1ED613"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7%</w:t>
            </w:r>
          </w:p>
        </w:tc>
      </w:tr>
      <w:tr w:rsidR="000F4B80" w:rsidRPr="001526FF" w14:paraId="78C3B290" w14:textId="77777777" w:rsidTr="009858AE">
        <w:trPr>
          <w:trHeight w:val="35"/>
        </w:trPr>
        <w:tc>
          <w:tcPr>
            <w:tcW w:w="5185"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3DCE4A54" w14:textId="77777777" w:rsidR="000F4B80" w:rsidRPr="001526FF" w:rsidRDefault="000F4B80" w:rsidP="001A327E">
            <w:pPr>
              <w:rPr>
                <w:rFonts w:cstheme="minorHAnsi"/>
                <w:b/>
                <w:bCs/>
                <w:color w:val="243587"/>
                <w:sz w:val="22"/>
                <w:szCs w:val="22"/>
              </w:rPr>
            </w:pPr>
            <w:r>
              <w:rPr>
                <w:rFonts w:cstheme="minorHAnsi"/>
                <w:b/>
                <w:bCs/>
                <w:color w:val="243587"/>
                <w:sz w:val="22"/>
                <w:szCs w:val="22"/>
                <w:lang w:val="el-GR"/>
              </w:rPr>
              <w:t>Επιβάτες</w:t>
            </w:r>
            <w:r w:rsidRPr="001526FF">
              <w:rPr>
                <w:rFonts w:cstheme="minorHAnsi"/>
                <w:b/>
                <w:bCs/>
                <w:color w:val="243587"/>
                <w:sz w:val="22"/>
                <w:szCs w:val="22"/>
              </w:rPr>
              <w:t xml:space="preserve"> (</w:t>
            </w:r>
            <w:r w:rsidRPr="001526FF">
              <w:rPr>
                <w:rFonts w:cstheme="minorHAnsi"/>
                <w:b/>
                <w:bCs/>
                <w:color w:val="243587"/>
                <w:sz w:val="22"/>
                <w:szCs w:val="22"/>
                <w:lang w:val="el-GR"/>
              </w:rPr>
              <w:t>΄</w:t>
            </w:r>
            <w:r w:rsidRPr="001526FF">
              <w:rPr>
                <w:rFonts w:cstheme="minorHAnsi"/>
                <w:b/>
                <w:bCs/>
                <w:color w:val="243587"/>
                <w:sz w:val="22"/>
                <w:szCs w:val="22"/>
              </w:rPr>
              <w:t>000)</w:t>
            </w:r>
          </w:p>
        </w:tc>
        <w:tc>
          <w:tcPr>
            <w:tcW w:w="1832" w:type="dxa"/>
            <w:tcBorders>
              <w:top w:val="single" w:sz="4" w:space="0" w:color="1F3864" w:themeColor="accent1" w:themeShade="80"/>
              <w:left w:val="nil"/>
              <w:bottom w:val="nil"/>
              <w:right w:val="nil"/>
            </w:tcBorders>
            <w:vAlign w:val="center"/>
          </w:tcPr>
          <w:p w14:paraId="2E0641CC" w14:textId="77777777" w:rsidR="000F4B80" w:rsidRPr="0001626F" w:rsidRDefault="000F4B80" w:rsidP="001A327E">
            <w:pPr>
              <w:jc w:val="center"/>
              <w:rPr>
                <w:rFonts w:ascii="Calibri" w:eastAsia="Times New Roman" w:hAnsi="Calibri" w:cs="Calibri"/>
                <w:color w:val="243587"/>
                <w:sz w:val="22"/>
                <w:szCs w:val="22"/>
                <w:lang w:eastAsia="el-GR"/>
              </w:rPr>
            </w:pPr>
          </w:p>
        </w:tc>
        <w:tc>
          <w:tcPr>
            <w:tcW w:w="1754" w:type="dxa"/>
            <w:tcBorders>
              <w:top w:val="single" w:sz="4" w:space="0" w:color="1F3864" w:themeColor="accent1" w:themeShade="80"/>
              <w:left w:val="nil"/>
              <w:bottom w:val="nil"/>
              <w:right w:val="nil"/>
            </w:tcBorders>
            <w:shd w:val="clear" w:color="auto" w:fill="EEF1F8"/>
            <w:vAlign w:val="center"/>
          </w:tcPr>
          <w:p w14:paraId="4116FB50" w14:textId="77777777" w:rsidR="000F4B80" w:rsidRPr="0001626F" w:rsidRDefault="000F4B80" w:rsidP="001A327E">
            <w:pPr>
              <w:jc w:val="center"/>
              <w:rPr>
                <w:rFonts w:ascii="Calibri" w:eastAsia="Times New Roman" w:hAnsi="Calibri" w:cs="Calibri"/>
                <w:color w:val="243587"/>
                <w:sz w:val="22"/>
                <w:szCs w:val="22"/>
                <w:lang w:eastAsia="el-GR"/>
              </w:rPr>
            </w:pPr>
          </w:p>
        </w:tc>
        <w:tc>
          <w:tcPr>
            <w:tcW w:w="1754" w:type="dxa"/>
            <w:tcBorders>
              <w:top w:val="single" w:sz="4" w:space="0" w:color="1F3864" w:themeColor="accent1" w:themeShade="80"/>
              <w:left w:val="nil"/>
              <w:bottom w:val="nil"/>
              <w:right w:val="nil"/>
            </w:tcBorders>
            <w:vAlign w:val="center"/>
          </w:tcPr>
          <w:p w14:paraId="29B3FB7D" w14:textId="77777777" w:rsidR="000F4B80" w:rsidRPr="0001626F" w:rsidRDefault="000F4B80" w:rsidP="001A327E">
            <w:pPr>
              <w:jc w:val="center"/>
              <w:rPr>
                <w:rFonts w:ascii="Calibri" w:eastAsia="Times New Roman" w:hAnsi="Calibri" w:cs="Calibri"/>
                <w:color w:val="243587"/>
                <w:sz w:val="22"/>
                <w:szCs w:val="22"/>
                <w:lang w:eastAsia="el-GR"/>
              </w:rPr>
            </w:pPr>
          </w:p>
        </w:tc>
      </w:tr>
      <w:tr w:rsidR="000F4B80" w:rsidRPr="001526FF" w14:paraId="5A8A96BD"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06A63B72" w14:textId="77777777" w:rsidR="000F4B80" w:rsidRPr="001526FF" w:rsidRDefault="000F4B80" w:rsidP="001A327E">
            <w:pPr>
              <w:rPr>
                <w:rFonts w:cstheme="minorHAnsi"/>
                <w:color w:val="243587"/>
                <w:sz w:val="22"/>
                <w:szCs w:val="22"/>
              </w:rPr>
            </w:pPr>
            <w:r>
              <w:rPr>
                <w:rFonts w:cstheme="minorHAnsi"/>
                <w:color w:val="243587"/>
                <w:sz w:val="22"/>
                <w:szCs w:val="22"/>
                <w:lang w:val="el-GR"/>
              </w:rPr>
              <w:t>Ανά είδος πτήσεων</w:t>
            </w:r>
            <w:r w:rsidRPr="001526FF">
              <w:rPr>
                <w:rFonts w:cstheme="minorHAnsi"/>
                <w:color w:val="243587"/>
                <w:sz w:val="22"/>
                <w:szCs w:val="22"/>
              </w:rPr>
              <w:t>:</w:t>
            </w:r>
          </w:p>
        </w:tc>
        <w:tc>
          <w:tcPr>
            <w:tcW w:w="1832" w:type="dxa"/>
            <w:tcBorders>
              <w:top w:val="nil"/>
              <w:left w:val="nil"/>
              <w:bottom w:val="nil"/>
              <w:right w:val="nil"/>
            </w:tcBorders>
            <w:vAlign w:val="center"/>
          </w:tcPr>
          <w:p w14:paraId="32434514" w14:textId="77777777" w:rsidR="000F4B80" w:rsidRPr="0001626F" w:rsidRDefault="000F4B80" w:rsidP="001A327E">
            <w:pPr>
              <w:jc w:val="center"/>
              <w:rPr>
                <w:rFonts w:ascii="Calibri" w:eastAsia="Times New Roman" w:hAnsi="Calibri" w:cs="Calibri"/>
                <w:color w:val="243587"/>
                <w:sz w:val="22"/>
                <w:szCs w:val="22"/>
                <w:lang w:eastAsia="el-GR"/>
              </w:rPr>
            </w:pPr>
          </w:p>
        </w:tc>
        <w:tc>
          <w:tcPr>
            <w:tcW w:w="1754" w:type="dxa"/>
            <w:tcBorders>
              <w:top w:val="nil"/>
              <w:left w:val="nil"/>
              <w:bottom w:val="nil"/>
              <w:right w:val="nil"/>
            </w:tcBorders>
            <w:shd w:val="clear" w:color="auto" w:fill="EEF1F8"/>
            <w:vAlign w:val="center"/>
          </w:tcPr>
          <w:p w14:paraId="59BDE0BD" w14:textId="77777777" w:rsidR="000F4B80" w:rsidRPr="0001626F" w:rsidRDefault="000F4B80" w:rsidP="001A327E">
            <w:pPr>
              <w:jc w:val="center"/>
              <w:rPr>
                <w:rFonts w:ascii="Calibri" w:eastAsia="Times New Roman" w:hAnsi="Calibri" w:cs="Calibri"/>
                <w:color w:val="243587"/>
                <w:sz w:val="22"/>
                <w:szCs w:val="22"/>
                <w:lang w:eastAsia="el-GR"/>
              </w:rPr>
            </w:pPr>
          </w:p>
        </w:tc>
        <w:tc>
          <w:tcPr>
            <w:tcW w:w="1754" w:type="dxa"/>
            <w:tcBorders>
              <w:top w:val="nil"/>
              <w:left w:val="nil"/>
              <w:bottom w:val="nil"/>
              <w:right w:val="nil"/>
            </w:tcBorders>
            <w:vAlign w:val="center"/>
          </w:tcPr>
          <w:p w14:paraId="64638FA5" w14:textId="77777777" w:rsidR="000F4B80" w:rsidRPr="0001626F" w:rsidRDefault="000F4B80" w:rsidP="001A327E">
            <w:pPr>
              <w:jc w:val="center"/>
              <w:rPr>
                <w:rFonts w:ascii="Calibri" w:eastAsia="Times New Roman" w:hAnsi="Calibri" w:cs="Calibri"/>
                <w:color w:val="243587"/>
                <w:sz w:val="22"/>
                <w:szCs w:val="22"/>
                <w:lang w:eastAsia="el-GR"/>
              </w:rPr>
            </w:pPr>
          </w:p>
        </w:tc>
      </w:tr>
      <w:tr w:rsidR="00874556" w:rsidRPr="001526FF" w14:paraId="0B9B473C"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11C5BCC9" w14:textId="46078173" w:rsidR="00874556" w:rsidRPr="00A22CED" w:rsidRDefault="00C42BC4" w:rsidP="00874556">
            <w:pPr>
              <w:rPr>
                <w:rFonts w:cstheme="minorHAnsi"/>
                <w:color w:val="243587"/>
                <w:sz w:val="22"/>
                <w:szCs w:val="22"/>
                <w:lang w:val="el-GR"/>
              </w:rPr>
            </w:pPr>
            <w:r>
              <w:rPr>
                <w:rFonts w:cstheme="minorHAnsi"/>
                <w:color w:val="243587"/>
                <w:sz w:val="22"/>
                <w:szCs w:val="22"/>
                <w:lang w:val="en-US"/>
              </w:rPr>
              <w:t xml:space="preserve"> </w:t>
            </w:r>
            <w:r w:rsidR="00874556">
              <w:rPr>
                <w:rFonts w:cstheme="minorHAnsi"/>
                <w:color w:val="243587"/>
                <w:sz w:val="22"/>
                <w:szCs w:val="22"/>
                <w:lang w:val="el-GR"/>
              </w:rPr>
              <w:t>Επιβάτες Τακτικών πτήσεων</w:t>
            </w:r>
          </w:p>
        </w:tc>
        <w:tc>
          <w:tcPr>
            <w:tcW w:w="1832" w:type="dxa"/>
            <w:tcBorders>
              <w:top w:val="nil"/>
              <w:left w:val="nil"/>
              <w:bottom w:val="nil"/>
              <w:right w:val="nil"/>
            </w:tcBorders>
            <w:vAlign w:val="center"/>
          </w:tcPr>
          <w:p w14:paraId="69E8229D"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1.494</w:t>
            </w:r>
          </w:p>
        </w:tc>
        <w:tc>
          <w:tcPr>
            <w:tcW w:w="1754" w:type="dxa"/>
            <w:tcBorders>
              <w:top w:val="nil"/>
              <w:left w:val="nil"/>
              <w:bottom w:val="nil"/>
              <w:right w:val="nil"/>
            </w:tcBorders>
            <w:shd w:val="clear" w:color="auto" w:fill="EEF1F8"/>
            <w:vAlign w:val="center"/>
          </w:tcPr>
          <w:p w14:paraId="0984D8B3"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2.565</w:t>
            </w:r>
          </w:p>
        </w:tc>
        <w:tc>
          <w:tcPr>
            <w:tcW w:w="1754" w:type="dxa"/>
            <w:tcBorders>
              <w:top w:val="nil"/>
              <w:left w:val="nil"/>
              <w:bottom w:val="nil"/>
              <w:right w:val="nil"/>
            </w:tcBorders>
            <w:vAlign w:val="center"/>
          </w:tcPr>
          <w:p w14:paraId="487A0193"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72%</w:t>
            </w:r>
          </w:p>
        </w:tc>
      </w:tr>
      <w:tr w:rsidR="00874556" w:rsidRPr="001526FF" w14:paraId="19DD792E"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5F0892AD" w14:textId="77777777" w:rsidR="00874556" w:rsidRPr="00A22CED" w:rsidRDefault="00874556" w:rsidP="00874556">
            <w:pPr>
              <w:rPr>
                <w:rFonts w:cstheme="minorHAnsi"/>
                <w:color w:val="243587"/>
                <w:sz w:val="22"/>
                <w:szCs w:val="22"/>
                <w:lang w:val="el-GR"/>
              </w:rPr>
            </w:pPr>
            <w:r w:rsidRPr="001526FF">
              <w:rPr>
                <w:rFonts w:cstheme="minorHAnsi"/>
                <w:color w:val="243587"/>
                <w:sz w:val="22"/>
                <w:szCs w:val="22"/>
              </w:rPr>
              <w:t xml:space="preserve"> </w:t>
            </w:r>
            <w:r>
              <w:rPr>
                <w:rFonts w:cstheme="minorHAnsi"/>
                <w:color w:val="243587"/>
                <w:sz w:val="22"/>
                <w:szCs w:val="22"/>
                <w:lang w:val="el-GR"/>
              </w:rPr>
              <w:t>Επιβάτες Ναυλωμένων πτήσεων</w:t>
            </w:r>
          </w:p>
        </w:tc>
        <w:tc>
          <w:tcPr>
            <w:tcW w:w="1832" w:type="dxa"/>
            <w:tcBorders>
              <w:top w:val="nil"/>
              <w:left w:val="nil"/>
              <w:bottom w:val="nil"/>
              <w:right w:val="nil"/>
            </w:tcBorders>
            <w:vAlign w:val="center"/>
          </w:tcPr>
          <w:p w14:paraId="66EFD46E"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8</w:t>
            </w:r>
          </w:p>
        </w:tc>
        <w:tc>
          <w:tcPr>
            <w:tcW w:w="1754" w:type="dxa"/>
            <w:tcBorders>
              <w:top w:val="nil"/>
              <w:left w:val="nil"/>
              <w:bottom w:val="nil"/>
              <w:right w:val="nil"/>
            </w:tcBorders>
            <w:shd w:val="clear" w:color="auto" w:fill="EEF1F8"/>
            <w:vAlign w:val="center"/>
          </w:tcPr>
          <w:p w14:paraId="19B57B25"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16</w:t>
            </w:r>
          </w:p>
        </w:tc>
        <w:tc>
          <w:tcPr>
            <w:tcW w:w="1754" w:type="dxa"/>
            <w:tcBorders>
              <w:top w:val="nil"/>
              <w:left w:val="nil"/>
              <w:bottom w:val="nil"/>
              <w:right w:val="nil"/>
            </w:tcBorders>
            <w:vAlign w:val="center"/>
          </w:tcPr>
          <w:p w14:paraId="62420598"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92%</w:t>
            </w:r>
          </w:p>
        </w:tc>
      </w:tr>
      <w:tr w:rsidR="000F4B80" w:rsidRPr="001526FF" w14:paraId="224944E0"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607E8ED5" w14:textId="77777777" w:rsidR="000F4B80" w:rsidRPr="001526FF" w:rsidRDefault="000F4B80" w:rsidP="001A327E">
            <w:pPr>
              <w:rPr>
                <w:rFonts w:cstheme="minorHAnsi"/>
                <w:color w:val="243587"/>
                <w:sz w:val="22"/>
                <w:szCs w:val="22"/>
              </w:rPr>
            </w:pPr>
            <w:r>
              <w:rPr>
                <w:rFonts w:cstheme="minorHAnsi"/>
                <w:color w:val="243587"/>
                <w:sz w:val="22"/>
                <w:szCs w:val="22"/>
                <w:lang w:val="el-GR"/>
              </w:rPr>
              <w:t>Ανά δίκτυο</w:t>
            </w:r>
            <w:r w:rsidRPr="001526FF">
              <w:rPr>
                <w:rFonts w:cstheme="minorHAnsi"/>
                <w:color w:val="243587"/>
                <w:sz w:val="22"/>
                <w:szCs w:val="22"/>
              </w:rPr>
              <w:t>:</w:t>
            </w:r>
          </w:p>
        </w:tc>
        <w:tc>
          <w:tcPr>
            <w:tcW w:w="1832" w:type="dxa"/>
            <w:tcBorders>
              <w:top w:val="nil"/>
              <w:left w:val="nil"/>
              <w:bottom w:val="nil"/>
              <w:right w:val="nil"/>
            </w:tcBorders>
            <w:vAlign w:val="center"/>
          </w:tcPr>
          <w:p w14:paraId="723A7943" w14:textId="77777777" w:rsidR="000F4B80" w:rsidRPr="0001626F" w:rsidRDefault="000F4B80" w:rsidP="001A327E">
            <w:pPr>
              <w:jc w:val="center"/>
              <w:rPr>
                <w:rFonts w:ascii="Calibri" w:eastAsia="Times New Roman" w:hAnsi="Calibri" w:cs="Calibri"/>
                <w:color w:val="243587"/>
                <w:sz w:val="22"/>
                <w:szCs w:val="22"/>
                <w:lang w:eastAsia="el-GR"/>
              </w:rPr>
            </w:pPr>
          </w:p>
        </w:tc>
        <w:tc>
          <w:tcPr>
            <w:tcW w:w="1754" w:type="dxa"/>
            <w:tcBorders>
              <w:top w:val="nil"/>
              <w:left w:val="nil"/>
              <w:bottom w:val="nil"/>
              <w:right w:val="nil"/>
            </w:tcBorders>
            <w:shd w:val="clear" w:color="auto" w:fill="EEF1F8"/>
            <w:vAlign w:val="center"/>
          </w:tcPr>
          <w:p w14:paraId="484AF128" w14:textId="77777777" w:rsidR="000F4B80" w:rsidRPr="0001626F" w:rsidRDefault="000F4B80" w:rsidP="001A327E">
            <w:pPr>
              <w:jc w:val="center"/>
              <w:rPr>
                <w:rFonts w:ascii="Calibri" w:eastAsia="Times New Roman" w:hAnsi="Calibri" w:cs="Calibri"/>
                <w:color w:val="243587"/>
                <w:sz w:val="22"/>
                <w:szCs w:val="22"/>
                <w:lang w:eastAsia="el-GR"/>
              </w:rPr>
            </w:pPr>
          </w:p>
        </w:tc>
        <w:tc>
          <w:tcPr>
            <w:tcW w:w="1754" w:type="dxa"/>
            <w:tcBorders>
              <w:top w:val="nil"/>
              <w:left w:val="nil"/>
              <w:bottom w:val="nil"/>
              <w:right w:val="nil"/>
            </w:tcBorders>
            <w:vAlign w:val="center"/>
          </w:tcPr>
          <w:p w14:paraId="7E126212" w14:textId="77777777" w:rsidR="000F4B80" w:rsidRPr="0001626F" w:rsidRDefault="000F4B80" w:rsidP="001A327E">
            <w:pPr>
              <w:jc w:val="center"/>
              <w:rPr>
                <w:rFonts w:ascii="Calibri" w:eastAsia="Times New Roman" w:hAnsi="Calibri" w:cs="Calibri"/>
                <w:color w:val="243587"/>
                <w:sz w:val="22"/>
                <w:szCs w:val="22"/>
                <w:lang w:eastAsia="el-GR"/>
              </w:rPr>
            </w:pPr>
          </w:p>
        </w:tc>
      </w:tr>
      <w:tr w:rsidR="00874556" w:rsidRPr="001526FF" w14:paraId="0E949A66" w14:textId="77777777" w:rsidTr="009858AE">
        <w:trPr>
          <w:trHeight w:val="35"/>
        </w:trPr>
        <w:tc>
          <w:tcPr>
            <w:tcW w:w="5185" w:type="dxa"/>
            <w:tcBorders>
              <w:top w:val="nil"/>
              <w:left w:val="nil"/>
              <w:bottom w:val="nil"/>
              <w:right w:val="nil"/>
            </w:tcBorders>
            <w:shd w:val="clear" w:color="auto" w:fill="auto"/>
            <w:tcMar>
              <w:top w:w="13" w:type="dxa"/>
              <w:left w:w="97" w:type="dxa"/>
              <w:bottom w:w="0" w:type="dxa"/>
              <w:right w:w="97" w:type="dxa"/>
            </w:tcMar>
            <w:vAlign w:val="center"/>
          </w:tcPr>
          <w:p w14:paraId="6FE4146C" w14:textId="77777777" w:rsidR="00874556" w:rsidRPr="00A22CED" w:rsidRDefault="00874556" w:rsidP="00874556">
            <w:pPr>
              <w:rPr>
                <w:rFonts w:cstheme="minorHAnsi"/>
                <w:color w:val="243587"/>
                <w:sz w:val="22"/>
                <w:szCs w:val="22"/>
                <w:lang w:val="el-GR"/>
              </w:rPr>
            </w:pPr>
            <w:r w:rsidRPr="001526FF">
              <w:rPr>
                <w:rFonts w:cstheme="minorHAnsi"/>
                <w:color w:val="243587"/>
                <w:sz w:val="22"/>
                <w:szCs w:val="22"/>
              </w:rPr>
              <w:t xml:space="preserve">  </w:t>
            </w:r>
            <w:r>
              <w:rPr>
                <w:rFonts w:cstheme="minorHAnsi"/>
                <w:color w:val="243587"/>
                <w:sz w:val="22"/>
                <w:szCs w:val="22"/>
                <w:lang w:val="el-GR"/>
              </w:rPr>
              <w:t xml:space="preserve">Δίκτυο Εσωτερικού </w:t>
            </w:r>
          </w:p>
        </w:tc>
        <w:tc>
          <w:tcPr>
            <w:tcW w:w="1832" w:type="dxa"/>
            <w:tcBorders>
              <w:top w:val="nil"/>
              <w:left w:val="nil"/>
              <w:bottom w:val="nil"/>
              <w:right w:val="nil"/>
            </w:tcBorders>
            <w:vAlign w:val="center"/>
          </w:tcPr>
          <w:p w14:paraId="1BF06547"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717</w:t>
            </w:r>
          </w:p>
        </w:tc>
        <w:tc>
          <w:tcPr>
            <w:tcW w:w="1754" w:type="dxa"/>
            <w:tcBorders>
              <w:top w:val="nil"/>
              <w:left w:val="nil"/>
              <w:bottom w:val="nil"/>
              <w:right w:val="nil"/>
            </w:tcBorders>
            <w:shd w:val="clear" w:color="auto" w:fill="EEF1F8"/>
            <w:vAlign w:val="center"/>
          </w:tcPr>
          <w:p w14:paraId="706A19F3"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1.028</w:t>
            </w:r>
          </w:p>
        </w:tc>
        <w:tc>
          <w:tcPr>
            <w:tcW w:w="1754" w:type="dxa"/>
            <w:tcBorders>
              <w:top w:val="nil"/>
              <w:left w:val="nil"/>
              <w:bottom w:val="nil"/>
              <w:right w:val="nil"/>
            </w:tcBorders>
            <w:vAlign w:val="center"/>
          </w:tcPr>
          <w:p w14:paraId="31727238"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43%</w:t>
            </w:r>
          </w:p>
        </w:tc>
      </w:tr>
      <w:tr w:rsidR="00874556" w:rsidRPr="001526FF" w14:paraId="2C367FA0" w14:textId="77777777" w:rsidTr="009858AE">
        <w:trPr>
          <w:trHeight w:val="35"/>
        </w:trPr>
        <w:tc>
          <w:tcPr>
            <w:tcW w:w="5185" w:type="dxa"/>
            <w:tcBorders>
              <w:top w:val="nil"/>
              <w:left w:val="nil"/>
              <w:right w:val="nil"/>
            </w:tcBorders>
            <w:shd w:val="clear" w:color="auto" w:fill="auto"/>
            <w:tcMar>
              <w:top w:w="13" w:type="dxa"/>
              <w:left w:w="97" w:type="dxa"/>
              <w:bottom w:w="0" w:type="dxa"/>
              <w:right w:w="97" w:type="dxa"/>
            </w:tcMar>
            <w:vAlign w:val="center"/>
          </w:tcPr>
          <w:p w14:paraId="75F3FC8A" w14:textId="77777777" w:rsidR="00874556" w:rsidRPr="00A22CED" w:rsidRDefault="00874556" w:rsidP="00874556">
            <w:pPr>
              <w:rPr>
                <w:rFonts w:cstheme="minorHAnsi"/>
                <w:color w:val="243587"/>
                <w:sz w:val="22"/>
                <w:szCs w:val="22"/>
                <w:lang w:val="el-GR"/>
              </w:rPr>
            </w:pPr>
            <w:r w:rsidRPr="001526FF">
              <w:rPr>
                <w:rFonts w:cstheme="minorHAnsi"/>
                <w:color w:val="243587"/>
                <w:sz w:val="22"/>
                <w:szCs w:val="22"/>
              </w:rPr>
              <w:t xml:space="preserve">  </w:t>
            </w:r>
            <w:r>
              <w:rPr>
                <w:rFonts w:cstheme="minorHAnsi"/>
                <w:color w:val="243587"/>
                <w:sz w:val="22"/>
                <w:szCs w:val="22"/>
                <w:lang w:val="el-GR"/>
              </w:rPr>
              <w:t>Δίκτυο Εξωτερικού</w:t>
            </w:r>
          </w:p>
        </w:tc>
        <w:tc>
          <w:tcPr>
            <w:tcW w:w="1832" w:type="dxa"/>
            <w:tcBorders>
              <w:top w:val="nil"/>
              <w:left w:val="nil"/>
              <w:right w:val="nil"/>
            </w:tcBorders>
            <w:vAlign w:val="center"/>
          </w:tcPr>
          <w:p w14:paraId="2C2C30E5"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785</w:t>
            </w:r>
          </w:p>
        </w:tc>
        <w:tc>
          <w:tcPr>
            <w:tcW w:w="1754" w:type="dxa"/>
            <w:tcBorders>
              <w:top w:val="nil"/>
              <w:left w:val="nil"/>
              <w:right w:val="nil"/>
            </w:tcBorders>
            <w:shd w:val="clear" w:color="auto" w:fill="EEF1F8"/>
            <w:vAlign w:val="center"/>
          </w:tcPr>
          <w:p w14:paraId="365C9749"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1.553</w:t>
            </w:r>
          </w:p>
        </w:tc>
        <w:tc>
          <w:tcPr>
            <w:tcW w:w="1754" w:type="dxa"/>
            <w:tcBorders>
              <w:top w:val="nil"/>
              <w:left w:val="nil"/>
              <w:right w:val="nil"/>
            </w:tcBorders>
            <w:vAlign w:val="center"/>
          </w:tcPr>
          <w:p w14:paraId="19249A0C"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98%</w:t>
            </w:r>
          </w:p>
        </w:tc>
      </w:tr>
      <w:tr w:rsidR="00874556" w:rsidRPr="001526FF" w14:paraId="065096FC" w14:textId="77777777" w:rsidTr="009858AE">
        <w:trPr>
          <w:trHeight w:val="35"/>
        </w:trPr>
        <w:tc>
          <w:tcPr>
            <w:tcW w:w="5185" w:type="dxa"/>
            <w:tcBorders>
              <w:left w:val="nil"/>
              <w:right w:val="nil"/>
            </w:tcBorders>
            <w:shd w:val="clear" w:color="auto" w:fill="auto"/>
            <w:tcMar>
              <w:top w:w="13" w:type="dxa"/>
              <w:left w:w="97" w:type="dxa"/>
              <w:bottom w:w="0" w:type="dxa"/>
              <w:right w:w="97" w:type="dxa"/>
            </w:tcMar>
            <w:vAlign w:val="center"/>
          </w:tcPr>
          <w:p w14:paraId="41CAD89E" w14:textId="77777777" w:rsidR="00874556" w:rsidRPr="00A22CED" w:rsidRDefault="00874556" w:rsidP="00874556">
            <w:pPr>
              <w:rPr>
                <w:rFonts w:cstheme="minorHAnsi"/>
                <w:color w:val="243587"/>
                <w:sz w:val="22"/>
                <w:szCs w:val="22"/>
                <w:lang w:val="el-GR"/>
              </w:rPr>
            </w:pPr>
            <w:r>
              <w:rPr>
                <w:rFonts w:cstheme="minorHAnsi"/>
                <w:color w:val="243587"/>
                <w:sz w:val="22"/>
                <w:szCs w:val="22"/>
                <w:lang w:val="el-GR"/>
              </w:rPr>
              <w:t xml:space="preserve">Σύνολο επιβατών </w:t>
            </w:r>
          </w:p>
        </w:tc>
        <w:tc>
          <w:tcPr>
            <w:tcW w:w="1832" w:type="dxa"/>
            <w:tcBorders>
              <w:left w:val="nil"/>
              <w:right w:val="nil"/>
            </w:tcBorders>
            <w:vAlign w:val="center"/>
          </w:tcPr>
          <w:p w14:paraId="1DE507C8"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1.502</w:t>
            </w:r>
          </w:p>
        </w:tc>
        <w:tc>
          <w:tcPr>
            <w:tcW w:w="1754" w:type="dxa"/>
            <w:tcBorders>
              <w:left w:val="nil"/>
              <w:right w:val="nil"/>
            </w:tcBorders>
            <w:shd w:val="clear" w:color="auto" w:fill="EEF1F8"/>
            <w:vAlign w:val="center"/>
          </w:tcPr>
          <w:p w14:paraId="76684A16"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2.581</w:t>
            </w:r>
          </w:p>
        </w:tc>
        <w:tc>
          <w:tcPr>
            <w:tcW w:w="1754" w:type="dxa"/>
            <w:tcBorders>
              <w:left w:val="nil"/>
              <w:right w:val="nil"/>
            </w:tcBorders>
            <w:vAlign w:val="center"/>
          </w:tcPr>
          <w:p w14:paraId="19EF244E"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72%</w:t>
            </w:r>
          </w:p>
        </w:tc>
      </w:tr>
      <w:tr w:rsidR="00874556" w:rsidRPr="001526FF" w14:paraId="336459A6" w14:textId="77777777" w:rsidTr="009858AE">
        <w:trPr>
          <w:trHeight w:val="35"/>
        </w:trPr>
        <w:tc>
          <w:tcPr>
            <w:tcW w:w="5185" w:type="dxa"/>
            <w:tcBorders>
              <w:left w:val="nil"/>
              <w:bottom w:val="nil"/>
              <w:right w:val="nil"/>
            </w:tcBorders>
            <w:shd w:val="clear" w:color="auto" w:fill="auto"/>
            <w:tcMar>
              <w:top w:w="13" w:type="dxa"/>
              <w:left w:w="97" w:type="dxa"/>
              <w:bottom w:w="0" w:type="dxa"/>
              <w:right w:w="97" w:type="dxa"/>
            </w:tcMar>
            <w:vAlign w:val="center"/>
          </w:tcPr>
          <w:p w14:paraId="5CBD026F" w14:textId="77777777" w:rsidR="00874556" w:rsidRPr="00A22CED" w:rsidRDefault="00874556" w:rsidP="00874556">
            <w:pPr>
              <w:rPr>
                <w:rFonts w:cstheme="minorHAnsi"/>
                <w:color w:val="243587"/>
                <w:sz w:val="22"/>
                <w:szCs w:val="22"/>
                <w:lang w:val="el-GR"/>
              </w:rPr>
            </w:pPr>
            <w:r>
              <w:rPr>
                <w:rFonts w:cstheme="minorHAnsi"/>
                <w:color w:val="243587"/>
                <w:sz w:val="22"/>
                <w:szCs w:val="22"/>
                <w:lang w:val="el-GR"/>
              </w:rPr>
              <w:t xml:space="preserve">Χιλιομετρικοί επιβάτες </w:t>
            </w:r>
            <w:r w:rsidRPr="001526FF">
              <w:rPr>
                <w:rFonts w:cstheme="minorHAnsi"/>
                <w:color w:val="243587"/>
                <w:sz w:val="22"/>
                <w:szCs w:val="22"/>
              </w:rPr>
              <w:t>RPKs</w:t>
            </w:r>
            <w:r w:rsidRPr="00A22CED">
              <w:rPr>
                <w:rFonts w:cstheme="minorHAnsi"/>
                <w:color w:val="243587"/>
                <w:sz w:val="22"/>
                <w:szCs w:val="22"/>
                <w:lang w:val="el-GR"/>
              </w:rPr>
              <w:t xml:space="preserve"> (</w:t>
            </w:r>
            <w:r>
              <w:rPr>
                <w:rFonts w:cstheme="minorHAnsi"/>
                <w:color w:val="243587"/>
                <w:sz w:val="22"/>
                <w:szCs w:val="22"/>
                <w:lang w:val="el-GR"/>
              </w:rPr>
              <w:t xml:space="preserve">σε </w:t>
            </w:r>
            <w:proofErr w:type="spellStart"/>
            <w:r>
              <w:rPr>
                <w:rFonts w:cstheme="minorHAnsi"/>
                <w:color w:val="243587"/>
                <w:sz w:val="22"/>
                <w:szCs w:val="22"/>
                <w:lang w:val="el-GR"/>
              </w:rPr>
              <w:t>εκατ</w:t>
            </w:r>
            <w:proofErr w:type="spellEnd"/>
            <w:r w:rsidRPr="00A22CED">
              <w:rPr>
                <w:rFonts w:cstheme="minorHAnsi"/>
                <w:color w:val="243587"/>
                <w:sz w:val="22"/>
                <w:szCs w:val="22"/>
                <w:lang w:val="el-GR"/>
              </w:rPr>
              <w:t xml:space="preserve">) </w:t>
            </w:r>
          </w:p>
        </w:tc>
        <w:tc>
          <w:tcPr>
            <w:tcW w:w="1832" w:type="dxa"/>
            <w:tcBorders>
              <w:left w:val="nil"/>
              <w:bottom w:val="nil"/>
              <w:right w:val="nil"/>
            </w:tcBorders>
            <w:vAlign w:val="center"/>
          </w:tcPr>
          <w:p w14:paraId="5A1341B3" w14:textId="77777777" w:rsidR="00874556" w:rsidRPr="00A60692"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1.455</w:t>
            </w:r>
          </w:p>
        </w:tc>
        <w:tc>
          <w:tcPr>
            <w:tcW w:w="1754" w:type="dxa"/>
            <w:tcBorders>
              <w:left w:val="nil"/>
              <w:bottom w:val="nil"/>
              <w:right w:val="nil"/>
            </w:tcBorders>
            <w:shd w:val="clear" w:color="auto" w:fill="EEF1F8"/>
            <w:vAlign w:val="center"/>
          </w:tcPr>
          <w:p w14:paraId="2FCC6704" w14:textId="77777777" w:rsidR="00874556" w:rsidRPr="00A60692"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2.715</w:t>
            </w:r>
          </w:p>
        </w:tc>
        <w:tc>
          <w:tcPr>
            <w:tcW w:w="1754" w:type="dxa"/>
            <w:tcBorders>
              <w:left w:val="nil"/>
              <w:bottom w:val="nil"/>
              <w:right w:val="nil"/>
            </w:tcBorders>
            <w:vAlign w:val="center"/>
          </w:tcPr>
          <w:p w14:paraId="4F98C903" w14:textId="77777777" w:rsidR="00874556" w:rsidRPr="00A60692"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87%</w:t>
            </w:r>
          </w:p>
        </w:tc>
      </w:tr>
      <w:tr w:rsidR="00874556" w:rsidRPr="001526FF" w14:paraId="5C4F81B4" w14:textId="77777777" w:rsidTr="009858AE">
        <w:trPr>
          <w:trHeight w:val="35"/>
        </w:trPr>
        <w:tc>
          <w:tcPr>
            <w:tcW w:w="518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2BCFFBD0" w14:textId="77777777" w:rsidR="00874556" w:rsidRPr="007649AB" w:rsidRDefault="00874556" w:rsidP="00874556">
            <w:pPr>
              <w:rPr>
                <w:rFonts w:cstheme="minorHAnsi"/>
                <w:color w:val="243587"/>
                <w:sz w:val="22"/>
                <w:szCs w:val="22"/>
                <w:lang w:val="el-GR"/>
              </w:rPr>
            </w:pPr>
            <w:r>
              <w:rPr>
                <w:rFonts w:ascii="Calibri" w:eastAsia="Times New Roman" w:hAnsi="Calibri" w:cs="Calibri"/>
                <w:color w:val="243587"/>
                <w:sz w:val="22"/>
                <w:szCs w:val="22"/>
                <w:lang w:val="el-GR" w:eastAsia="el-GR"/>
              </w:rPr>
              <w:t>Μέσος αριθμός επιβατών ανά πτήση</w:t>
            </w:r>
          </w:p>
        </w:tc>
        <w:tc>
          <w:tcPr>
            <w:tcW w:w="1832" w:type="dxa"/>
            <w:tcBorders>
              <w:top w:val="nil"/>
              <w:left w:val="nil"/>
              <w:bottom w:val="single" w:sz="4" w:space="0" w:color="1F3864" w:themeColor="accent1" w:themeShade="80"/>
              <w:right w:val="nil"/>
            </w:tcBorders>
            <w:vAlign w:val="center"/>
          </w:tcPr>
          <w:p w14:paraId="64FC317A"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99</w:t>
            </w:r>
          </w:p>
        </w:tc>
        <w:tc>
          <w:tcPr>
            <w:tcW w:w="1754" w:type="dxa"/>
            <w:tcBorders>
              <w:top w:val="nil"/>
              <w:left w:val="nil"/>
              <w:bottom w:val="single" w:sz="4" w:space="0" w:color="1F3864" w:themeColor="accent1" w:themeShade="80"/>
              <w:right w:val="nil"/>
            </w:tcBorders>
            <w:shd w:val="clear" w:color="auto" w:fill="EEF1F8"/>
            <w:vAlign w:val="center"/>
          </w:tcPr>
          <w:p w14:paraId="3A030A22"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126</w:t>
            </w:r>
          </w:p>
        </w:tc>
        <w:tc>
          <w:tcPr>
            <w:tcW w:w="1754" w:type="dxa"/>
            <w:tcBorders>
              <w:top w:val="nil"/>
              <w:left w:val="nil"/>
              <w:bottom w:val="single" w:sz="4" w:space="0" w:color="1F3864" w:themeColor="accent1" w:themeShade="80"/>
              <w:right w:val="nil"/>
            </w:tcBorders>
            <w:vAlign w:val="center"/>
          </w:tcPr>
          <w:p w14:paraId="21A89B03"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27%</w:t>
            </w:r>
          </w:p>
        </w:tc>
      </w:tr>
      <w:tr w:rsidR="00874556" w:rsidRPr="001526FF" w14:paraId="45DE4B04" w14:textId="77777777" w:rsidTr="009858AE">
        <w:trPr>
          <w:trHeight w:val="35"/>
        </w:trPr>
        <w:tc>
          <w:tcPr>
            <w:tcW w:w="5185" w:type="dxa"/>
            <w:tcBorders>
              <w:top w:val="single" w:sz="4" w:space="0" w:color="1F3864" w:themeColor="accent1" w:themeShade="80"/>
              <w:left w:val="nil"/>
              <w:bottom w:val="nil"/>
              <w:right w:val="nil"/>
            </w:tcBorders>
            <w:shd w:val="clear" w:color="auto" w:fill="auto"/>
            <w:tcMar>
              <w:top w:w="13" w:type="dxa"/>
              <w:left w:w="97" w:type="dxa"/>
              <w:bottom w:w="0" w:type="dxa"/>
              <w:right w:w="97" w:type="dxa"/>
            </w:tcMar>
            <w:vAlign w:val="center"/>
          </w:tcPr>
          <w:p w14:paraId="712FB865" w14:textId="77777777" w:rsidR="00874556" w:rsidRPr="0080512F" w:rsidRDefault="00874556" w:rsidP="00874556">
            <w:pPr>
              <w:rPr>
                <w:rFonts w:ascii="Calibri" w:eastAsia="Times New Roman" w:hAnsi="Calibri" w:cs="Calibri"/>
                <w:color w:val="243587"/>
                <w:sz w:val="22"/>
                <w:szCs w:val="22"/>
                <w:lang w:val="el-GR" w:eastAsia="el-GR"/>
              </w:rPr>
            </w:pPr>
            <w:r w:rsidRPr="0080512F">
              <w:rPr>
                <w:rFonts w:ascii="Calibri" w:eastAsia="Times New Roman" w:hAnsi="Calibri" w:cs="Calibri"/>
                <w:color w:val="243587"/>
                <w:sz w:val="22"/>
                <w:szCs w:val="22"/>
                <w:lang w:val="el-GR" w:eastAsia="el-GR"/>
              </w:rPr>
              <w:t>Συντελεστής Πληρότητας</w:t>
            </w:r>
          </w:p>
          <w:p w14:paraId="4EC1EB02" w14:textId="77777777" w:rsidR="00874556" w:rsidRPr="00193535" w:rsidRDefault="00874556" w:rsidP="00874556">
            <w:pPr>
              <w:rPr>
                <w:rFonts w:cstheme="minorHAnsi"/>
                <w:color w:val="243587"/>
                <w:sz w:val="22"/>
                <w:szCs w:val="22"/>
                <w:lang w:val="el-GR"/>
              </w:rPr>
            </w:pPr>
            <w:r w:rsidRPr="0080512F">
              <w:rPr>
                <w:rFonts w:ascii="Calibri" w:eastAsia="Times New Roman" w:hAnsi="Calibri" w:cs="Calibri"/>
                <w:color w:val="243587"/>
                <w:sz w:val="22"/>
                <w:szCs w:val="22"/>
                <w:lang w:val="el-GR" w:eastAsia="el-GR"/>
              </w:rPr>
              <w:t xml:space="preserve"> -Τακτικές Πτήσεις (Επιβάτες/Διαθέσιμες Θέσεις</w:t>
            </w:r>
            <w:r>
              <w:rPr>
                <w:rFonts w:ascii="Calibri" w:eastAsia="Times New Roman" w:hAnsi="Calibri" w:cs="Calibri"/>
                <w:color w:val="243587"/>
                <w:sz w:val="22"/>
                <w:szCs w:val="22"/>
                <w:lang w:val="el-GR" w:eastAsia="el-GR"/>
              </w:rPr>
              <w:t>)</w:t>
            </w:r>
          </w:p>
        </w:tc>
        <w:tc>
          <w:tcPr>
            <w:tcW w:w="1832" w:type="dxa"/>
            <w:tcBorders>
              <w:top w:val="single" w:sz="4" w:space="0" w:color="1F3864" w:themeColor="accent1" w:themeShade="80"/>
              <w:left w:val="nil"/>
              <w:bottom w:val="nil"/>
              <w:right w:val="nil"/>
            </w:tcBorders>
            <w:vAlign w:val="center"/>
          </w:tcPr>
          <w:p w14:paraId="0061905C"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65,4%</w:t>
            </w:r>
          </w:p>
        </w:tc>
        <w:tc>
          <w:tcPr>
            <w:tcW w:w="1754" w:type="dxa"/>
            <w:tcBorders>
              <w:top w:val="single" w:sz="4" w:space="0" w:color="1F3864" w:themeColor="accent1" w:themeShade="80"/>
              <w:left w:val="nil"/>
              <w:bottom w:val="nil"/>
              <w:right w:val="nil"/>
            </w:tcBorders>
            <w:shd w:val="clear" w:color="auto" w:fill="EEF1F8"/>
            <w:vAlign w:val="center"/>
          </w:tcPr>
          <w:p w14:paraId="39EBCABA"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80,0%</w:t>
            </w:r>
          </w:p>
        </w:tc>
        <w:tc>
          <w:tcPr>
            <w:tcW w:w="1754" w:type="dxa"/>
            <w:tcBorders>
              <w:top w:val="single" w:sz="4" w:space="0" w:color="1F3864" w:themeColor="accent1" w:themeShade="80"/>
              <w:left w:val="nil"/>
              <w:bottom w:val="nil"/>
              <w:right w:val="nil"/>
            </w:tcBorders>
            <w:vAlign w:val="center"/>
          </w:tcPr>
          <w:p w14:paraId="25CD08FB"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14,6pp</w:t>
            </w:r>
          </w:p>
        </w:tc>
      </w:tr>
      <w:tr w:rsidR="00874556" w:rsidRPr="001526FF" w14:paraId="6A107110" w14:textId="77777777" w:rsidTr="009858AE">
        <w:trPr>
          <w:trHeight w:val="35"/>
        </w:trPr>
        <w:tc>
          <w:tcPr>
            <w:tcW w:w="5185" w:type="dxa"/>
            <w:tcBorders>
              <w:top w:val="nil"/>
              <w:left w:val="nil"/>
              <w:bottom w:val="single" w:sz="4" w:space="0" w:color="1F3864" w:themeColor="accent1" w:themeShade="80"/>
              <w:right w:val="nil"/>
            </w:tcBorders>
            <w:shd w:val="clear" w:color="auto" w:fill="auto"/>
            <w:tcMar>
              <w:top w:w="13" w:type="dxa"/>
              <w:left w:w="97" w:type="dxa"/>
              <w:bottom w:w="0" w:type="dxa"/>
              <w:right w:w="97" w:type="dxa"/>
            </w:tcMar>
            <w:vAlign w:val="center"/>
          </w:tcPr>
          <w:p w14:paraId="7BF0BD61" w14:textId="77777777" w:rsidR="00874556" w:rsidRPr="0080512F" w:rsidRDefault="00874556" w:rsidP="00874556">
            <w:pPr>
              <w:rPr>
                <w:rFonts w:ascii="Calibri" w:eastAsia="Times New Roman" w:hAnsi="Calibri" w:cs="Calibri"/>
                <w:color w:val="243587"/>
                <w:sz w:val="22"/>
                <w:szCs w:val="22"/>
                <w:lang w:val="el-GR" w:eastAsia="el-GR"/>
              </w:rPr>
            </w:pPr>
            <w:r w:rsidRPr="0080512F">
              <w:rPr>
                <w:rFonts w:ascii="Calibri" w:eastAsia="Times New Roman" w:hAnsi="Calibri" w:cs="Calibri"/>
                <w:color w:val="243587"/>
                <w:sz w:val="22"/>
                <w:szCs w:val="22"/>
                <w:lang w:val="el-GR" w:eastAsia="el-GR"/>
              </w:rPr>
              <w:t>Συντελεστής Πληρότητας</w:t>
            </w:r>
          </w:p>
          <w:p w14:paraId="5D9E25C7" w14:textId="77777777" w:rsidR="00874556" w:rsidRPr="0080512F" w:rsidRDefault="00874556" w:rsidP="00874556">
            <w:pPr>
              <w:rPr>
                <w:rFonts w:ascii="Calibri" w:eastAsia="Times New Roman" w:hAnsi="Calibri" w:cs="Calibri"/>
                <w:color w:val="243587"/>
                <w:sz w:val="22"/>
                <w:szCs w:val="22"/>
                <w:lang w:val="el-GR" w:eastAsia="el-GR"/>
              </w:rPr>
            </w:pPr>
            <w:r w:rsidRPr="0080512F">
              <w:rPr>
                <w:rFonts w:ascii="Calibri" w:eastAsia="Times New Roman" w:hAnsi="Calibri" w:cs="Calibri"/>
                <w:color w:val="243587"/>
                <w:sz w:val="22"/>
                <w:szCs w:val="22"/>
                <w:lang w:val="el-GR" w:eastAsia="el-GR"/>
              </w:rPr>
              <w:t xml:space="preserve">- Τακτικές πτήσεις </w:t>
            </w:r>
          </w:p>
          <w:p w14:paraId="171C20BB" w14:textId="77777777" w:rsidR="00874556" w:rsidRPr="0080512F" w:rsidRDefault="00874556" w:rsidP="00874556">
            <w:pPr>
              <w:rPr>
                <w:rFonts w:ascii="Calibri" w:eastAsia="Times New Roman" w:hAnsi="Calibri" w:cs="Calibri"/>
                <w:color w:val="243587"/>
                <w:sz w:val="22"/>
                <w:szCs w:val="22"/>
                <w:lang w:val="el-GR" w:eastAsia="el-GR"/>
              </w:rPr>
            </w:pPr>
            <w:r w:rsidRPr="0080512F">
              <w:rPr>
                <w:rFonts w:ascii="Calibri" w:eastAsia="Times New Roman" w:hAnsi="Calibri" w:cs="Calibri"/>
                <w:color w:val="243587"/>
                <w:sz w:val="22"/>
                <w:szCs w:val="22"/>
                <w:lang w:val="el-GR" w:eastAsia="el-GR"/>
              </w:rPr>
              <w:t xml:space="preserve">(Χιλιομετρικοί επιβάτες </w:t>
            </w:r>
            <w:r w:rsidRPr="00586584">
              <w:rPr>
                <w:rFonts w:ascii="Calibri" w:eastAsia="Times New Roman" w:hAnsi="Calibri" w:cs="Calibri"/>
                <w:color w:val="243587"/>
                <w:sz w:val="22"/>
                <w:szCs w:val="22"/>
                <w:lang w:eastAsia="el-GR"/>
              </w:rPr>
              <w:t>RPK</w:t>
            </w:r>
          </w:p>
          <w:p w14:paraId="2D206CD1" w14:textId="77777777" w:rsidR="00874556" w:rsidRPr="001526FF" w:rsidRDefault="00874556" w:rsidP="00874556">
            <w:pPr>
              <w:rPr>
                <w:rFonts w:cstheme="minorHAnsi"/>
                <w:color w:val="243587"/>
                <w:sz w:val="22"/>
                <w:szCs w:val="22"/>
              </w:rPr>
            </w:pPr>
            <w:r w:rsidRPr="00586584">
              <w:rPr>
                <w:rFonts w:ascii="Calibri" w:eastAsia="Times New Roman" w:hAnsi="Calibri" w:cs="Calibri"/>
                <w:color w:val="243587"/>
                <w:sz w:val="22"/>
                <w:szCs w:val="22"/>
                <w:lang w:eastAsia="el-GR"/>
              </w:rPr>
              <w:t xml:space="preserve">/ </w:t>
            </w:r>
            <w:proofErr w:type="spellStart"/>
            <w:r w:rsidRPr="00586584">
              <w:rPr>
                <w:rFonts w:ascii="Calibri" w:eastAsia="Times New Roman" w:hAnsi="Calibri" w:cs="Calibri"/>
                <w:color w:val="243587"/>
                <w:sz w:val="22"/>
                <w:szCs w:val="22"/>
                <w:lang w:eastAsia="el-GR"/>
              </w:rPr>
              <w:t>Χιλιομετρικές</w:t>
            </w:r>
            <w:proofErr w:type="spellEnd"/>
            <w:r w:rsidRPr="00586584">
              <w:rPr>
                <w:rFonts w:ascii="Calibri" w:eastAsia="Times New Roman" w:hAnsi="Calibri" w:cs="Calibri"/>
                <w:color w:val="243587"/>
                <w:sz w:val="22"/>
                <w:szCs w:val="22"/>
                <w:lang w:eastAsia="el-GR"/>
              </w:rPr>
              <w:t xml:space="preserve"> </w:t>
            </w:r>
            <w:proofErr w:type="spellStart"/>
            <w:r w:rsidRPr="00586584">
              <w:rPr>
                <w:rFonts w:ascii="Calibri" w:eastAsia="Times New Roman" w:hAnsi="Calibri" w:cs="Calibri"/>
                <w:color w:val="243587"/>
                <w:sz w:val="22"/>
                <w:szCs w:val="22"/>
                <w:lang w:eastAsia="el-GR"/>
              </w:rPr>
              <w:t>Θέσεις</w:t>
            </w:r>
            <w:proofErr w:type="spellEnd"/>
            <w:r w:rsidRPr="00586584">
              <w:rPr>
                <w:rFonts w:ascii="Calibri" w:eastAsia="Times New Roman" w:hAnsi="Calibri" w:cs="Calibri"/>
                <w:color w:val="243587"/>
                <w:sz w:val="22"/>
                <w:szCs w:val="22"/>
                <w:lang w:eastAsia="el-GR"/>
              </w:rPr>
              <w:t xml:space="preserve"> -ASK)</w:t>
            </w:r>
          </w:p>
        </w:tc>
        <w:tc>
          <w:tcPr>
            <w:tcW w:w="1832" w:type="dxa"/>
            <w:tcBorders>
              <w:top w:val="nil"/>
              <w:left w:val="nil"/>
              <w:bottom w:val="single" w:sz="4" w:space="0" w:color="1F3864" w:themeColor="accent1" w:themeShade="80"/>
              <w:right w:val="nil"/>
            </w:tcBorders>
            <w:vAlign w:val="center"/>
          </w:tcPr>
          <w:p w14:paraId="4FFB6152"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66,1%</w:t>
            </w:r>
          </w:p>
        </w:tc>
        <w:tc>
          <w:tcPr>
            <w:tcW w:w="1754" w:type="dxa"/>
            <w:tcBorders>
              <w:top w:val="nil"/>
              <w:left w:val="nil"/>
              <w:bottom w:val="single" w:sz="4" w:space="0" w:color="1F3864" w:themeColor="accent1" w:themeShade="80"/>
              <w:right w:val="nil"/>
            </w:tcBorders>
            <w:shd w:val="clear" w:color="auto" w:fill="EEF1F8"/>
            <w:vAlign w:val="center"/>
          </w:tcPr>
          <w:p w14:paraId="79D166FE"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81,6%</w:t>
            </w:r>
          </w:p>
        </w:tc>
        <w:tc>
          <w:tcPr>
            <w:tcW w:w="1754" w:type="dxa"/>
            <w:tcBorders>
              <w:top w:val="nil"/>
              <w:left w:val="nil"/>
              <w:bottom w:val="single" w:sz="4" w:space="0" w:color="1F3864" w:themeColor="accent1" w:themeShade="80"/>
              <w:right w:val="nil"/>
            </w:tcBorders>
            <w:vAlign w:val="center"/>
          </w:tcPr>
          <w:p w14:paraId="7169272A" w14:textId="77777777" w:rsidR="00874556" w:rsidRPr="003E0C25" w:rsidRDefault="00874556" w:rsidP="00874556">
            <w:pPr>
              <w:jc w:val="center"/>
              <w:rPr>
                <w:rFonts w:ascii="Calibri" w:eastAsia="Times New Roman" w:hAnsi="Calibri" w:cs="Calibri"/>
                <w:color w:val="243587"/>
                <w:sz w:val="22"/>
                <w:szCs w:val="22"/>
                <w:lang w:eastAsia="el-GR"/>
              </w:rPr>
            </w:pPr>
            <w:r w:rsidRPr="00874556">
              <w:rPr>
                <w:rFonts w:ascii="Calibri" w:eastAsia="Times New Roman" w:hAnsi="Calibri" w:cs="Calibri"/>
                <w:color w:val="243587"/>
                <w:sz w:val="22"/>
                <w:szCs w:val="22"/>
                <w:lang w:eastAsia="el-GR"/>
              </w:rPr>
              <w:t>15,5pp</w:t>
            </w:r>
          </w:p>
        </w:tc>
      </w:tr>
      <w:bookmarkEnd w:id="7"/>
    </w:tbl>
    <w:p w14:paraId="13CE67EE" w14:textId="77777777" w:rsidR="003C24C7" w:rsidRDefault="003C24C7" w:rsidP="002B728D">
      <w:pPr>
        <w:tabs>
          <w:tab w:val="left" w:pos="9498"/>
        </w:tabs>
        <w:spacing w:after="240" w:line="276" w:lineRule="auto"/>
        <w:ind w:right="-8"/>
        <w:jc w:val="both"/>
        <w:rPr>
          <w:rFonts w:cstheme="minorHAnsi"/>
          <w:color w:val="243587"/>
          <w:sz w:val="22"/>
          <w:szCs w:val="22"/>
          <w:lang w:val="el-GR"/>
        </w:rPr>
      </w:pPr>
    </w:p>
    <w:sectPr w:rsidR="003C24C7" w:rsidSect="00447184">
      <w:headerReference w:type="default" r:id="rId11"/>
      <w:footerReference w:type="default" r:id="rId12"/>
      <w:pgSz w:w="11900" w:h="16840"/>
      <w:pgMar w:top="3969" w:right="851" w:bottom="567" w:left="851" w:header="851"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2C833" w14:textId="77777777" w:rsidR="00E22C49" w:rsidRDefault="00E22C49" w:rsidP="003C1020">
      <w:r>
        <w:separator/>
      </w:r>
    </w:p>
  </w:endnote>
  <w:endnote w:type="continuationSeparator" w:id="0">
    <w:p w14:paraId="4A5095BF" w14:textId="77777777" w:rsidR="00E22C49" w:rsidRDefault="00E22C49" w:rsidP="003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URW Geometric Ext Extra Light">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7895" w14:textId="77777777" w:rsidR="00E22C49" w:rsidRDefault="00E22C49" w:rsidP="00B63CF4">
    <w:pPr>
      <w:pStyle w:val="Footer"/>
      <w:rPr>
        <w:rFonts w:ascii="URW Geometric Ext Extra Light" w:hAnsi="URW Geometric Ext Extra Light"/>
        <w:color w:val="243587"/>
        <w:sz w:val="16"/>
        <w:szCs w:val="16"/>
      </w:rPr>
    </w:pPr>
  </w:p>
  <w:p w14:paraId="71D7DFF7" w14:textId="77777777" w:rsidR="00E22C49" w:rsidRPr="006622B2" w:rsidRDefault="00E22C49" w:rsidP="00B63CF4">
    <w:pPr>
      <w:pStyle w:val="Footer"/>
      <w:rPr>
        <w:rFonts w:ascii="URW Geometric Ext Extra Light" w:hAnsi="URW Geometric Ext Extra Light"/>
        <w:color w:val="243587"/>
        <w:sz w:val="16"/>
        <w:szCs w:val="16"/>
      </w:rPr>
    </w:pPr>
    <w:r>
      <w:rPr>
        <w:rFonts w:ascii="URW Geometric Ext Extra Light" w:hAnsi="URW Geometric Ext Extra Light"/>
        <w:noProof/>
        <w:color w:val="243587"/>
        <w:sz w:val="16"/>
        <w:szCs w:val="16"/>
      </w:rPr>
      <w:drawing>
        <wp:inline distT="0" distB="0" distL="0" distR="0" wp14:anchorId="74AD275B" wp14:editId="31CBCB7D">
          <wp:extent cx="6475730" cy="44649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75730" cy="446498"/>
                  </a:xfrm>
                  <a:prstGeom prst="rect">
                    <a:avLst/>
                  </a:prstGeom>
                </pic:spPr>
              </pic:pic>
            </a:graphicData>
          </a:graphic>
        </wp:inline>
      </w:drawing>
    </w:r>
    <w:r w:rsidRPr="00DE4577">
      <w:rPr>
        <w:rFonts w:ascii="URW Geometric Ext Extra Light" w:hAnsi="URW Geometric Ext Extra Light"/>
        <w:color w:val="243587"/>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0FAA" w14:textId="77777777" w:rsidR="00E22C49" w:rsidRDefault="00E22C49" w:rsidP="003C1020">
      <w:r>
        <w:separator/>
      </w:r>
    </w:p>
  </w:footnote>
  <w:footnote w:type="continuationSeparator" w:id="0">
    <w:p w14:paraId="17203F5D" w14:textId="77777777" w:rsidR="00E22C49" w:rsidRDefault="00E22C49" w:rsidP="003C1020">
      <w:r>
        <w:continuationSeparator/>
      </w:r>
    </w:p>
  </w:footnote>
  <w:footnote w:id="1">
    <w:p w14:paraId="75E1CDFA" w14:textId="7C60B77D" w:rsidR="00E22C49" w:rsidRPr="006D5ED0" w:rsidRDefault="00E22C49" w:rsidP="006D5ED0">
      <w:pPr>
        <w:pStyle w:val="AegeanNormal"/>
        <w:spacing w:after="0" w:line="240" w:lineRule="auto"/>
        <w:rPr>
          <w:sz w:val="16"/>
          <w:szCs w:val="14"/>
        </w:rPr>
      </w:pPr>
      <w:r>
        <w:rPr>
          <w:rStyle w:val="FootnoteReference"/>
          <w:rFonts w:ascii="Arial" w:hAnsi="Arial" w:cs="Arial"/>
          <w:sz w:val="16"/>
          <w:szCs w:val="16"/>
        </w:rPr>
        <w:footnoteRef/>
      </w:r>
      <w:r>
        <w:rPr>
          <w:rFonts w:ascii="Arial" w:hAnsi="Arial" w:cs="Arial"/>
          <w:sz w:val="16"/>
          <w:szCs w:val="16"/>
        </w:rPr>
        <w:t xml:space="preserve"> </w:t>
      </w:r>
      <w:r>
        <w:rPr>
          <w:sz w:val="16"/>
          <w:szCs w:val="14"/>
        </w:rPr>
        <w:t>Περιλαμβάνει χρηματοοικονομικές επενδύσεις ύψους €93,6 εκατ. και δεσμευμένες καταθέσεις €12,6 εκατ.</w:t>
      </w:r>
    </w:p>
  </w:footnote>
  <w:footnote w:id="2">
    <w:p w14:paraId="5457ED89" w14:textId="3A84A1BE" w:rsidR="006D5ED0" w:rsidRPr="006D5ED0" w:rsidRDefault="006D5ED0" w:rsidP="006D5ED0">
      <w:pPr>
        <w:pStyle w:val="AegeanNormal"/>
        <w:spacing w:after="0" w:line="240" w:lineRule="auto"/>
        <w:rPr>
          <w:sz w:val="16"/>
          <w:szCs w:val="14"/>
        </w:rPr>
      </w:pPr>
      <w:r>
        <w:rPr>
          <w:rStyle w:val="FootnoteReference"/>
          <w:rFonts w:ascii="Arial" w:hAnsi="Arial" w:cs="Arial"/>
          <w:sz w:val="16"/>
          <w:szCs w:val="16"/>
        </w:rPr>
        <w:footnoteRef/>
      </w:r>
      <w:r>
        <w:rPr>
          <w:rFonts w:ascii="Arial" w:hAnsi="Arial" w:cs="Arial"/>
          <w:sz w:val="16"/>
          <w:szCs w:val="16"/>
        </w:rPr>
        <w:t xml:space="preserve"> </w:t>
      </w:r>
      <w:r>
        <w:rPr>
          <w:sz w:val="16"/>
          <w:szCs w:val="14"/>
        </w:rPr>
        <w:t>Περιλαμβάνει χρηματοοικονομικές επενδύσεις ύψους €</w:t>
      </w:r>
      <w:r w:rsidRPr="006D5ED0">
        <w:rPr>
          <w:sz w:val="16"/>
          <w:szCs w:val="14"/>
        </w:rPr>
        <w:t>64</w:t>
      </w:r>
      <w:r>
        <w:rPr>
          <w:sz w:val="16"/>
          <w:szCs w:val="14"/>
        </w:rPr>
        <w:t>,</w:t>
      </w:r>
      <w:r w:rsidRPr="006D5ED0">
        <w:rPr>
          <w:sz w:val="16"/>
          <w:szCs w:val="14"/>
        </w:rPr>
        <w:t>2</w:t>
      </w:r>
      <w:r>
        <w:rPr>
          <w:sz w:val="16"/>
          <w:szCs w:val="14"/>
        </w:rPr>
        <w:t xml:space="preserve"> εκατ. και δεσμευμένες καταθέσεις €1,</w:t>
      </w:r>
      <w:r w:rsidRPr="000D764A">
        <w:rPr>
          <w:sz w:val="16"/>
          <w:szCs w:val="14"/>
        </w:rPr>
        <w:t>4</w:t>
      </w:r>
      <w:r>
        <w:rPr>
          <w:sz w:val="16"/>
          <w:szCs w:val="14"/>
        </w:rPr>
        <w:t xml:space="preserve"> εκατ.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AA68" w14:textId="77777777" w:rsidR="00E22C49" w:rsidRPr="00DE4577" w:rsidRDefault="00E22C49">
    <w:pPr>
      <w:pStyle w:val="Header"/>
    </w:pPr>
    <w:r>
      <w:rPr>
        <w:noProof/>
        <w:lang w:val="el-GR" w:eastAsia="el-GR"/>
      </w:rPr>
      <w:drawing>
        <wp:inline distT="0" distB="0" distL="0" distR="0" wp14:anchorId="42764375" wp14:editId="4E06C47F">
          <wp:extent cx="6362835" cy="358775"/>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844078" cy="385910"/>
                  </a:xfrm>
                  <a:prstGeom prst="rect">
                    <a:avLst/>
                  </a:prstGeom>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00072"/>
    <w:multiLevelType w:val="hybridMultilevel"/>
    <w:tmpl w:val="7632C064"/>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1" w15:restartNumberingAfterBreak="0">
    <w:nsid w:val="1A8C2E84"/>
    <w:multiLevelType w:val="hybridMultilevel"/>
    <w:tmpl w:val="BE7667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256AE0"/>
    <w:multiLevelType w:val="hybridMultilevel"/>
    <w:tmpl w:val="E050E1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731794"/>
    <w:multiLevelType w:val="hybridMultilevel"/>
    <w:tmpl w:val="A956C6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942D5D"/>
    <w:multiLevelType w:val="hybridMultilevel"/>
    <w:tmpl w:val="2AF20F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20"/>
    <w:rsid w:val="00001381"/>
    <w:rsid w:val="000077AD"/>
    <w:rsid w:val="00010195"/>
    <w:rsid w:val="0001531C"/>
    <w:rsid w:val="000162E1"/>
    <w:rsid w:val="00017A3C"/>
    <w:rsid w:val="00030AF5"/>
    <w:rsid w:val="00031A4F"/>
    <w:rsid w:val="00041A13"/>
    <w:rsid w:val="0004557C"/>
    <w:rsid w:val="00055167"/>
    <w:rsid w:val="000625B4"/>
    <w:rsid w:val="000632A7"/>
    <w:rsid w:val="00067C83"/>
    <w:rsid w:val="0007373A"/>
    <w:rsid w:val="00074432"/>
    <w:rsid w:val="00076DE9"/>
    <w:rsid w:val="00077525"/>
    <w:rsid w:val="00080AFE"/>
    <w:rsid w:val="00080B40"/>
    <w:rsid w:val="00091CA7"/>
    <w:rsid w:val="00093401"/>
    <w:rsid w:val="00094DBC"/>
    <w:rsid w:val="000969F7"/>
    <w:rsid w:val="000A0C2F"/>
    <w:rsid w:val="000D4123"/>
    <w:rsid w:val="000D51CF"/>
    <w:rsid w:val="000D7544"/>
    <w:rsid w:val="000D764A"/>
    <w:rsid w:val="000E1BA2"/>
    <w:rsid w:val="000E1CD6"/>
    <w:rsid w:val="000E2DCA"/>
    <w:rsid w:val="000E6AEA"/>
    <w:rsid w:val="000F1DDA"/>
    <w:rsid w:val="000F4B80"/>
    <w:rsid w:val="0010745C"/>
    <w:rsid w:val="00112C52"/>
    <w:rsid w:val="00116ED8"/>
    <w:rsid w:val="00117938"/>
    <w:rsid w:val="001421D0"/>
    <w:rsid w:val="001652A8"/>
    <w:rsid w:val="00171545"/>
    <w:rsid w:val="00175CDE"/>
    <w:rsid w:val="00176238"/>
    <w:rsid w:val="00181D09"/>
    <w:rsid w:val="001827C8"/>
    <w:rsid w:val="001848C4"/>
    <w:rsid w:val="00193535"/>
    <w:rsid w:val="00193C46"/>
    <w:rsid w:val="001A327E"/>
    <w:rsid w:val="001A46AF"/>
    <w:rsid w:val="001B1BDA"/>
    <w:rsid w:val="001B289C"/>
    <w:rsid w:val="001B3C35"/>
    <w:rsid w:val="001B5623"/>
    <w:rsid w:val="001C3CF2"/>
    <w:rsid w:val="001C4787"/>
    <w:rsid w:val="001C54D4"/>
    <w:rsid w:val="001D169F"/>
    <w:rsid w:val="001D443F"/>
    <w:rsid w:val="001E2CD7"/>
    <w:rsid w:val="001E6228"/>
    <w:rsid w:val="001E6AFD"/>
    <w:rsid w:val="001F6C1D"/>
    <w:rsid w:val="00200CF7"/>
    <w:rsid w:val="00211A6F"/>
    <w:rsid w:val="002138E4"/>
    <w:rsid w:val="00220586"/>
    <w:rsid w:val="00225665"/>
    <w:rsid w:val="00226DD7"/>
    <w:rsid w:val="00232ACD"/>
    <w:rsid w:val="00241DA2"/>
    <w:rsid w:val="00241FB8"/>
    <w:rsid w:val="002456D8"/>
    <w:rsid w:val="0025579A"/>
    <w:rsid w:val="00273622"/>
    <w:rsid w:val="002737D1"/>
    <w:rsid w:val="00274703"/>
    <w:rsid w:val="00275583"/>
    <w:rsid w:val="00283C5A"/>
    <w:rsid w:val="002936ED"/>
    <w:rsid w:val="002938A6"/>
    <w:rsid w:val="00294813"/>
    <w:rsid w:val="00297CE8"/>
    <w:rsid w:val="002A3204"/>
    <w:rsid w:val="002A43B8"/>
    <w:rsid w:val="002A6638"/>
    <w:rsid w:val="002B0AAA"/>
    <w:rsid w:val="002B728D"/>
    <w:rsid w:val="002C57CB"/>
    <w:rsid w:val="002C73F8"/>
    <w:rsid w:val="002D1A5A"/>
    <w:rsid w:val="002D4019"/>
    <w:rsid w:val="002E1D99"/>
    <w:rsid w:val="002E3D8C"/>
    <w:rsid w:val="002E4F03"/>
    <w:rsid w:val="002F5260"/>
    <w:rsid w:val="00305EAC"/>
    <w:rsid w:val="00306859"/>
    <w:rsid w:val="00313A0E"/>
    <w:rsid w:val="00314046"/>
    <w:rsid w:val="003202E3"/>
    <w:rsid w:val="003238BA"/>
    <w:rsid w:val="00325992"/>
    <w:rsid w:val="00327820"/>
    <w:rsid w:val="003331FE"/>
    <w:rsid w:val="003403C6"/>
    <w:rsid w:val="003408B5"/>
    <w:rsid w:val="00353081"/>
    <w:rsid w:val="00355FBE"/>
    <w:rsid w:val="00357A5F"/>
    <w:rsid w:val="00365368"/>
    <w:rsid w:val="00396F96"/>
    <w:rsid w:val="003B0B52"/>
    <w:rsid w:val="003B5E1F"/>
    <w:rsid w:val="003C1020"/>
    <w:rsid w:val="003C24C7"/>
    <w:rsid w:val="003D0AD7"/>
    <w:rsid w:val="003D1A72"/>
    <w:rsid w:val="003D7717"/>
    <w:rsid w:val="003E4E42"/>
    <w:rsid w:val="003E54FA"/>
    <w:rsid w:val="003F1044"/>
    <w:rsid w:val="003F2BC8"/>
    <w:rsid w:val="00406598"/>
    <w:rsid w:val="00407E90"/>
    <w:rsid w:val="00411D41"/>
    <w:rsid w:val="004131AA"/>
    <w:rsid w:val="0042144D"/>
    <w:rsid w:val="004263E8"/>
    <w:rsid w:val="0042712E"/>
    <w:rsid w:val="00432711"/>
    <w:rsid w:val="0043454E"/>
    <w:rsid w:val="00446C10"/>
    <w:rsid w:val="00447184"/>
    <w:rsid w:val="00455E8E"/>
    <w:rsid w:val="004614EE"/>
    <w:rsid w:val="00467E3D"/>
    <w:rsid w:val="00471865"/>
    <w:rsid w:val="00471E8C"/>
    <w:rsid w:val="00472C98"/>
    <w:rsid w:val="00473602"/>
    <w:rsid w:val="004807FF"/>
    <w:rsid w:val="0049672F"/>
    <w:rsid w:val="00497CE3"/>
    <w:rsid w:val="004A01C8"/>
    <w:rsid w:val="004B3712"/>
    <w:rsid w:val="004B3765"/>
    <w:rsid w:val="004C06C6"/>
    <w:rsid w:val="004C4EBC"/>
    <w:rsid w:val="004D0409"/>
    <w:rsid w:val="004D0CD6"/>
    <w:rsid w:val="004D1437"/>
    <w:rsid w:val="004D52A5"/>
    <w:rsid w:val="004E1523"/>
    <w:rsid w:val="004E5A6D"/>
    <w:rsid w:val="004E6719"/>
    <w:rsid w:val="004E6863"/>
    <w:rsid w:val="004F5D1B"/>
    <w:rsid w:val="005007B3"/>
    <w:rsid w:val="0050202B"/>
    <w:rsid w:val="005051D9"/>
    <w:rsid w:val="0051409D"/>
    <w:rsid w:val="005146CE"/>
    <w:rsid w:val="00520FE4"/>
    <w:rsid w:val="00545D71"/>
    <w:rsid w:val="00554DEB"/>
    <w:rsid w:val="00570750"/>
    <w:rsid w:val="00572238"/>
    <w:rsid w:val="00586584"/>
    <w:rsid w:val="005920BE"/>
    <w:rsid w:val="005925F0"/>
    <w:rsid w:val="00593407"/>
    <w:rsid w:val="005A17F7"/>
    <w:rsid w:val="005A1F07"/>
    <w:rsid w:val="005B1A13"/>
    <w:rsid w:val="005C1742"/>
    <w:rsid w:val="005D37B3"/>
    <w:rsid w:val="005D4803"/>
    <w:rsid w:val="005E615D"/>
    <w:rsid w:val="005E6168"/>
    <w:rsid w:val="00625AD6"/>
    <w:rsid w:val="0063409D"/>
    <w:rsid w:val="00637A57"/>
    <w:rsid w:val="006413F3"/>
    <w:rsid w:val="00645A95"/>
    <w:rsid w:val="00650B8E"/>
    <w:rsid w:val="006564E4"/>
    <w:rsid w:val="006622B2"/>
    <w:rsid w:val="006675E0"/>
    <w:rsid w:val="00667820"/>
    <w:rsid w:val="0067049F"/>
    <w:rsid w:val="00673860"/>
    <w:rsid w:val="006740C2"/>
    <w:rsid w:val="006761CD"/>
    <w:rsid w:val="00676DB2"/>
    <w:rsid w:val="00681F26"/>
    <w:rsid w:val="00682950"/>
    <w:rsid w:val="006873CB"/>
    <w:rsid w:val="00691585"/>
    <w:rsid w:val="006A051A"/>
    <w:rsid w:val="006A068E"/>
    <w:rsid w:val="006A7BE0"/>
    <w:rsid w:val="006B0935"/>
    <w:rsid w:val="006B52D5"/>
    <w:rsid w:val="006C213D"/>
    <w:rsid w:val="006D0F4E"/>
    <w:rsid w:val="006D5ED0"/>
    <w:rsid w:val="006E0F18"/>
    <w:rsid w:val="006E33F8"/>
    <w:rsid w:val="006E7F1C"/>
    <w:rsid w:val="006F372A"/>
    <w:rsid w:val="006F56E4"/>
    <w:rsid w:val="00707FE5"/>
    <w:rsid w:val="0072060B"/>
    <w:rsid w:val="00721EB7"/>
    <w:rsid w:val="007273C2"/>
    <w:rsid w:val="00731F15"/>
    <w:rsid w:val="00733CCA"/>
    <w:rsid w:val="00744032"/>
    <w:rsid w:val="00756F62"/>
    <w:rsid w:val="007579E6"/>
    <w:rsid w:val="00757C5C"/>
    <w:rsid w:val="007649AB"/>
    <w:rsid w:val="0077013B"/>
    <w:rsid w:val="007737E0"/>
    <w:rsid w:val="007749C1"/>
    <w:rsid w:val="00775F86"/>
    <w:rsid w:val="00790B43"/>
    <w:rsid w:val="007937E7"/>
    <w:rsid w:val="00795B4B"/>
    <w:rsid w:val="00795E0B"/>
    <w:rsid w:val="007971C2"/>
    <w:rsid w:val="007A3C9D"/>
    <w:rsid w:val="007A56BF"/>
    <w:rsid w:val="007A5872"/>
    <w:rsid w:val="007A6EF3"/>
    <w:rsid w:val="007A7260"/>
    <w:rsid w:val="007B31FE"/>
    <w:rsid w:val="007C18C4"/>
    <w:rsid w:val="007D16A4"/>
    <w:rsid w:val="007D27FA"/>
    <w:rsid w:val="007D503D"/>
    <w:rsid w:val="007E4E27"/>
    <w:rsid w:val="007E6EE4"/>
    <w:rsid w:val="007F410B"/>
    <w:rsid w:val="00801B19"/>
    <w:rsid w:val="00804CB4"/>
    <w:rsid w:val="0080512F"/>
    <w:rsid w:val="00814BFE"/>
    <w:rsid w:val="0081696E"/>
    <w:rsid w:val="008231DB"/>
    <w:rsid w:val="008237C5"/>
    <w:rsid w:val="00823A98"/>
    <w:rsid w:val="00825A30"/>
    <w:rsid w:val="00826CE7"/>
    <w:rsid w:val="008345C1"/>
    <w:rsid w:val="00836014"/>
    <w:rsid w:val="008451AE"/>
    <w:rsid w:val="00856306"/>
    <w:rsid w:val="008564BD"/>
    <w:rsid w:val="00866E16"/>
    <w:rsid w:val="00874556"/>
    <w:rsid w:val="008837F2"/>
    <w:rsid w:val="00884FEB"/>
    <w:rsid w:val="008916D0"/>
    <w:rsid w:val="008B28F3"/>
    <w:rsid w:val="008B4D79"/>
    <w:rsid w:val="008C032D"/>
    <w:rsid w:val="008C1887"/>
    <w:rsid w:val="008E0D3E"/>
    <w:rsid w:val="008E4735"/>
    <w:rsid w:val="008F267C"/>
    <w:rsid w:val="00901D4C"/>
    <w:rsid w:val="009038FA"/>
    <w:rsid w:val="00913CEF"/>
    <w:rsid w:val="00917320"/>
    <w:rsid w:val="00922A37"/>
    <w:rsid w:val="00925CAD"/>
    <w:rsid w:val="00925F0F"/>
    <w:rsid w:val="0096117A"/>
    <w:rsid w:val="00962C14"/>
    <w:rsid w:val="00965EB1"/>
    <w:rsid w:val="009669BE"/>
    <w:rsid w:val="00970533"/>
    <w:rsid w:val="009736D6"/>
    <w:rsid w:val="00974A74"/>
    <w:rsid w:val="00975E5A"/>
    <w:rsid w:val="009858AE"/>
    <w:rsid w:val="00992C89"/>
    <w:rsid w:val="009A02F2"/>
    <w:rsid w:val="009A329A"/>
    <w:rsid w:val="009A533B"/>
    <w:rsid w:val="009B5C39"/>
    <w:rsid w:val="009B643A"/>
    <w:rsid w:val="009C0CFA"/>
    <w:rsid w:val="009C2197"/>
    <w:rsid w:val="009C50D1"/>
    <w:rsid w:val="009C7EE9"/>
    <w:rsid w:val="009D07F3"/>
    <w:rsid w:val="009D12C1"/>
    <w:rsid w:val="009D250E"/>
    <w:rsid w:val="009D45A7"/>
    <w:rsid w:val="009D7595"/>
    <w:rsid w:val="009E1BA4"/>
    <w:rsid w:val="009F3D1C"/>
    <w:rsid w:val="00A04E55"/>
    <w:rsid w:val="00A1344C"/>
    <w:rsid w:val="00A14753"/>
    <w:rsid w:val="00A15C16"/>
    <w:rsid w:val="00A2150D"/>
    <w:rsid w:val="00A22CED"/>
    <w:rsid w:val="00A5573A"/>
    <w:rsid w:val="00A66FC7"/>
    <w:rsid w:val="00A75D6A"/>
    <w:rsid w:val="00A7652E"/>
    <w:rsid w:val="00A828C5"/>
    <w:rsid w:val="00A837F7"/>
    <w:rsid w:val="00A879AF"/>
    <w:rsid w:val="00A9202A"/>
    <w:rsid w:val="00A97823"/>
    <w:rsid w:val="00AA27B5"/>
    <w:rsid w:val="00AB6AAF"/>
    <w:rsid w:val="00AC557E"/>
    <w:rsid w:val="00AC75C1"/>
    <w:rsid w:val="00AF0D40"/>
    <w:rsid w:val="00AF210B"/>
    <w:rsid w:val="00AF3B33"/>
    <w:rsid w:val="00B01132"/>
    <w:rsid w:val="00B042C7"/>
    <w:rsid w:val="00B11178"/>
    <w:rsid w:val="00B202E6"/>
    <w:rsid w:val="00B27E2E"/>
    <w:rsid w:val="00B3306F"/>
    <w:rsid w:val="00B36D05"/>
    <w:rsid w:val="00B41C28"/>
    <w:rsid w:val="00B42BA0"/>
    <w:rsid w:val="00B43E2F"/>
    <w:rsid w:val="00B44205"/>
    <w:rsid w:val="00B4517C"/>
    <w:rsid w:val="00B4519B"/>
    <w:rsid w:val="00B56E41"/>
    <w:rsid w:val="00B63CF4"/>
    <w:rsid w:val="00B641A5"/>
    <w:rsid w:val="00B64319"/>
    <w:rsid w:val="00B660CF"/>
    <w:rsid w:val="00B67D03"/>
    <w:rsid w:val="00B751D2"/>
    <w:rsid w:val="00B81A71"/>
    <w:rsid w:val="00B862AE"/>
    <w:rsid w:val="00B969ED"/>
    <w:rsid w:val="00BA0303"/>
    <w:rsid w:val="00BA2966"/>
    <w:rsid w:val="00BA2BFA"/>
    <w:rsid w:val="00BB2899"/>
    <w:rsid w:val="00BC0C3C"/>
    <w:rsid w:val="00BD2291"/>
    <w:rsid w:val="00BD2CC2"/>
    <w:rsid w:val="00BD776A"/>
    <w:rsid w:val="00BE2C82"/>
    <w:rsid w:val="00BE3A9B"/>
    <w:rsid w:val="00BE3CE5"/>
    <w:rsid w:val="00BF390C"/>
    <w:rsid w:val="00BF71D2"/>
    <w:rsid w:val="00BF7CEC"/>
    <w:rsid w:val="00BF7D01"/>
    <w:rsid w:val="00C05D08"/>
    <w:rsid w:val="00C061D2"/>
    <w:rsid w:val="00C07485"/>
    <w:rsid w:val="00C07591"/>
    <w:rsid w:val="00C22132"/>
    <w:rsid w:val="00C268DC"/>
    <w:rsid w:val="00C2715B"/>
    <w:rsid w:val="00C42BC4"/>
    <w:rsid w:val="00C5071C"/>
    <w:rsid w:val="00C51211"/>
    <w:rsid w:val="00C52A05"/>
    <w:rsid w:val="00C572AD"/>
    <w:rsid w:val="00C63544"/>
    <w:rsid w:val="00C726CB"/>
    <w:rsid w:val="00C824FC"/>
    <w:rsid w:val="00C83C61"/>
    <w:rsid w:val="00C8763C"/>
    <w:rsid w:val="00C902A7"/>
    <w:rsid w:val="00C91667"/>
    <w:rsid w:val="00C95696"/>
    <w:rsid w:val="00C96677"/>
    <w:rsid w:val="00CA2848"/>
    <w:rsid w:val="00CA356E"/>
    <w:rsid w:val="00CA3BDE"/>
    <w:rsid w:val="00CB1494"/>
    <w:rsid w:val="00CC107E"/>
    <w:rsid w:val="00CC12F2"/>
    <w:rsid w:val="00CD238A"/>
    <w:rsid w:val="00CD3411"/>
    <w:rsid w:val="00CD4860"/>
    <w:rsid w:val="00CE3103"/>
    <w:rsid w:val="00D027F7"/>
    <w:rsid w:val="00D04B08"/>
    <w:rsid w:val="00D07571"/>
    <w:rsid w:val="00D276AA"/>
    <w:rsid w:val="00D30897"/>
    <w:rsid w:val="00D31056"/>
    <w:rsid w:val="00D316D7"/>
    <w:rsid w:val="00D36555"/>
    <w:rsid w:val="00D41933"/>
    <w:rsid w:val="00D44685"/>
    <w:rsid w:val="00D4527D"/>
    <w:rsid w:val="00D531E7"/>
    <w:rsid w:val="00D575A2"/>
    <w:rsid w:val="00D659E5"/>
    <w:rsid w:val="00D65B03"/>
    <w:rsid w:val="00D70715"/>
    <w:rsid w:val="00D716C8"/>
    <w:rsid w:val="00D732C3"/>
    <w:rsid w:val="00D766ED"/>
    <w:rsid w:val="00D80817"/>
    <w:rsid w:val="00D829E8"/>
    <w:rsid w:val="00D831CD"/>
    <w:rsid w:val="00D86C4D"/>
    <w:rsid w:val="00D91222"/>
    <w:rsid w:val="00DA1947"/>
    <w:rsid w:val="00DA2500"/>
    <w:rsid w:val="00DA6A79"/>
    <w:rsid w:val="00DB6D14"/>
    <w:rsid w:val="00DC0A76"/>
    <w:rsid w:val="00DC2B7A"/>
    <w:rsid w:val="00DC52D7"/>
    <w:rsid w:val="00DD4F7B"/>
    <w:rsid w:val="00DE0067"/>
    <w:rsid w:val="00DE43F4"/>
    <w:rsid w:val="00DE4577"/>
    <w:rsid w:val="00DE6D11"/>
    <w:rsid w:val="00DF150D"/>
    <w:rsid w:val="00DF3E82"/>
    <w:rsid w:val="00E02877"/>
    <w:rsid w:val="00E04AB9"/>
    <w:rsid w:val="00E06AE4"/>
    <w:rsid w:val="00E1121D"/>
    <w:rsid w:val="00E11E4F"/>
    <w:rsid w:val="00E13FD3"/>
    <w:rsid w:val="00E170F3"/>
    <w:rsid w:val="00E22C49"/>
    <w:rsid w:val="00E32DBF"/>
    <w:rsid w:val="00E339CD"/>
    <w:rsid w:val="00E37822"/>
    <w:rsid w:val="00E43798"/>
    <w:rsid w:val="00E456CB"/>
    <w:rsid w:val="00E5014A"/>
    <w:rsid w:val="00E53447"/>
    <w:rsid w:val="00E546CA"/>
    <w:rsid w:val="00E569FF"/>
    <w:rsid w:val="00E6692F"/>
    <w:rsid w:val="00E66E8E"/>
    <w:rsid w:val="00E76799"/>
    <w:rsid w:val="00E81576"/>
    <w:rsid w:val="00E9115C"/>
    <w:rsid w:val="00EA1A96"/>
    <w:rsid w:val="00EA3E1C"/>
    <w:rsid w:val="00EB0E9F"/>
    <w:rsid w:val="00EB30E2"/>
    <w:rsid w:val="00EB408B"/>
    <w:rsid w:val="00EC0366"/>
    <w:rsid w:val="00EC30E3"/>
    <w:rsid w:val="00ED38D7"/>
    <w:rsid w:val="00EE465F"/>
    <w:rsid w:val="00EE529B"/>
    <w:rsid w:val="00EE5E61"/>
    <w:rsid w:val="00EF3814"/>
    <w:rsid w:val="00EF61F5"/>
    <w:rsid w:val="00F07255"/>
    <w:rsid w:val="00F17717"/>
    <w:rsid w:val="00F21B0F"/>
    <w:rsid w:val="00F22608"/>
    <w:rsid w:val="00F227D2"/>
    <w:rsid w:val="00F269C1"/>
    <w:rsid w:val="00F31699"/>
    <w:rsid w:val="00F31BC4"/>
    <w:rsid w:val="00F339AF"/>
    <w:rsid w:val="00F36BD0"/>
    <w:rsid w:val="00F37A43"/>
    <w:rsid w:val="00F403BC"/>
    <w:rsid w:val="00F51BFB"/>
    <w:rsid w:val="00F56FEA"/>
    <w:rsid w:val="00F57076"/>
    <w:rsid w:val="00F67817"/>
    <w:rsid w:val="00F76672"/>
    <w:rsid w:val="00F77E38"/>
    <w:rsid w:val="00F806F0"/>
    <w:rsid w:val="00FA09F6"/>
    <w:rsid w:val="00FA670D"/>
    <w:rsid w:val="00FA7505"/>
    <w:rsid w:val="00FB456D"/>
    <w:rsid w:val="00FC4C94"/>
    <w:rsid w:val="00FC540D"/>
    <w:rsid w:val="00FD2239"/>
    <w:rsid w:val="00FE6111"/>
    <w:rsid w:val="00FF3BDE"/>
    <w:rsid w:val="00FF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13F403"/>
  <w14:defaultImageDpi w14:val="32767"/>
  <w15:chartTrackingRefBased/>
  <w15:docId w15:val="{2B6855C1-3607-254B-9995-6C93D272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BA2BFA"/>
    <w:pPr>
      <w:keepNext/>
      <w:jc w:val="center"/>
      <w:outlineLvl w:val="0"/>
    </w:pPr>
    <w:rPr>
      <w:rFonts w:ascii="Times New Roman" w:eastAsia="Times New Roman" w:hAnsi="Times New Roman" w:cs="Times New Roman"/>
      <w:sz w:val="28"/>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020"/>
    <w:pPr>
      <w:tabs>
        <w:tab w:val="center" w:pos="4680"/>
        <w:tab w:val="right" w:pos="9360"/>
      </w:tabs>
    </w:pPr>
  </w:style>
  <w:style w:type="character" w:customStyle="1" w:styleId="HeaderChar">
    <w:name w:val="Header Char"/>
    <w:basedOn w:val="DefaultParagraphFont"/>
    <w:link w:val="Header"/>
    <w:uiPriority w:val="99"/>
    <w:rsid w:val="003C1020"/>
  </w:style>
  <w:style w:type="paragraph" w:styleId="Footer">
    <w:name w:val="footer"/>
    <w:basedOn w:val="Normal"/>
    <w:link w:val="FooterChar"/>
    <w:uiPriority w:val="99"/>
    <w:unhideWhenUsed/>
    <w:rsid w:val="003C1020"/>
    <w:pPr>
      <w:tabs>
        <w:tab w:val="center" w:pos="4680"/>
        <w:tab w:val="right" w:pos="9360"/>
      </w:tabs>
    </w:pPr>
  </w:style>
  <w:style w:type="character" w:customStyle="1" w:styleId="FooterChar">
    <w:name w:val="Footer Char"/>
    <w:basedOn w:val="DefaultParagraphFont"/>
    <w:link w:val="Footer"/>
    <w:uiPriority w:val="99"/>
    <w:rsid w:val="003C1020"/>
  </w:style>
  <w:style w:type="table" w:styleId="TableGrid">
    <w:name w:val="Table Grid"/>
    <w:basedOn w:val="TableNormal"/>
    <w:uiPriority w:val="39"/>
    <w:rsid w:val="00DB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A2BFA"/>
    <w:rPr>
      <w:rFonts w:ascii="Times New Roman" w:eastAsia="Times New Roman" w:hAnsi="Times New Roman" w:cs="Times New Roman"/>
      <w:sz w:val="28"/>
      <w:lang w:val="el-GR"/>
    </w:rPr>
  </w:style>
  <w:style w:type="paragraph" w:styleId="FootnoteText">
    <w:name w:val="footnote text"/>
    <w:basedOn w:val="Normal"/>
    <w:link w:val="FootnoteTextChar"/>
    <w:uiPriority w:val="99"/>
    <w:unhideWhenUsed/>
    <w:rsid w:val="000162E1"/>
    <w:rPr>
      <w:rFonts w:ascii="Times New Roman" w:eastAsia="Times New Roman" w:hAnsi="Times New Roman" w:cs="Times New Roman"/>
      <w:sz w:val="20"/>
      <w:szCs w:val="20"/>
      <w:lang w:val="el-GR" w:eastAsia="el-GR"/>
    </w:rPr>
  </w:style>
  <w:style w:type="character" w:customStyle="1" w:styleId="FootnoteTextChar">
    <w:name w:val="Footnote Text Char"/>
    <w:basedOn w:val="DefaultParagraphFont"/>
    <w:link w:val="FootnoteText"/>
    <w:uiPriority w:val="99"/>
    <w:rsid w:val="000162E1"/>
    <w:rPr>
      <w:rFonts w:ascii="Times New Roman" w:eastAsia="Times New Roman" w:hAnsi="Times New Roman" w:cs="Times New Roman"/>
      <w:sz w:val="20"/>
      <w:szCs w:val="20"/>
      <w:lang w:val="el-GR" w:eastAsia="el-GR"/>
    </w:rPr>
  </w:style>
  <w:style w:type="paragraph" w:styleId="BalloonText">
    <w:name w:val="Balloon Text"/>
    <w:basedOn w:val="Normal"/>
    <w:link w:val="BalloonTextChar"/>
    <w:uiPriority w:val="99"/>
    <w:semiHidden/>
    <w:unhideWhenUsed/>
    <w:rsid w:val="006C2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3D"/>
    <w:rPr>
      <w:rFonts w:ascii="Segoe UI" w:hAnsi="Segoe UI" w:cs="Segoe UI"/>
      <w:sz w:val="18"/>
      <w:szCs w:val="18"/>
    </w:rPr>
  </w:style>
  <w:style w:type="paragraph" w:customStyle="1" w:styleId="AegeanNormal">
    <w:name w:val="Aegean Normal"/>
    <w:basedOn w:val="Normal"/>
    <w:link w:val="AegeanNormalChar"/>
    <w:autoRedefine/>
    <w:qFormat/>
    <w:rsid w:val="00407E90"/>
    <w:pPr>
      <w:spacing w:after="240" w:line="276" w:lineRule="auto"/>
      <w:ind w:right="6"/>
      <w:jc w:val="both"/>
    </w:pPr>
    <w:rPr>
      <w:rFonts w:ascii="Calibri" w:hAnsi="Calibri"/>
      <w:color w:val="243587"/>
      <w:sz w:val="22"/>
      <w:szCs w:val="19"/>
      <w:lang w:val="el-GR"/>
    </w:rPr>
  </w:style>
  <w:style w:type="character" w:styleId="CommentReference">
    <w:name w:val="annotation reference"/>
    <w:basedOn w:val="DefaultParagraphFont"/>
    <w:uiPriority w:val="99"/>
    <w:semiHidden/>
    <w:unhideWhenUsed/>
    <w:rsid w:val="006740C2"/>
    <w:rPr>
      <w:sz w:val="16"/>
      <w:szCs w:val="16"/>
    </w:rPr>
  </w:style>
  <w:style w:type="paragraph" w:styleId="CommentText">
    <w:name w:val="annotation text"/>
    <w:basedOn w:val="Normal"/>
    <w:link w:val="CommentTextChar"/>
    <w:uiPriority w:val="99"/>
    <w:unhideWhenUsed/>
    <w:rsid w:val="006740C2"/>
    <w:rPr>
      <w:sz w:val="20"/>
      <w:szCs w:val="20"/>
    </w:rPr>
  </w:style>
  <w:style w:type="character" w:customStyle="1" w:styleId="CommentTextChar">
    <w:name w:val="Comment Text Char"/>
    <w:basedOn w:val="DefaultParagraphFont"/>
    <w:link w:val="CommentText"/>
    <w:uiPriority w:val="99"/>
    <w:rsid w:val="006740C2"/>
    <w:rPr>
      <w:sz w:val="20"/>
      <w:szCs w:val="20"/>
    </w:rPr>
  </w:style>
  <w:style w:type="paragraph" w:styleId="CommentSubject">
    <w:name w:val="annotation subject"/>
    <w:basedOn w:val="CommentText"/>
    <w:next w:val="CommentText"/>
    <w:link w:val="CommentSubjectChar"/>
    <w:uiPriority w:val="99"/>
    <w:semiHidden/>
    <w:unhideWhenUsed/>
    <w:rsid w:val="006740C2"/>
    <w:rPr>
      <w:b/>
      <w:bCs/>
    </w:rPr>
  </w:style>
  <w:style w:type="character" w:customStyle="1" w:styleId="CommentSubjectChar">
    <w:name w:val="Comment Subject Char"/>
    <w:basedOn w:val="CommentTextChar"/>
    <w:link w:val="CommentSubject"/>
    <w:uiPriority w:val="99"/>
    <w:semiHidden/>
    <w:rsid w:val="006740C2"/>
    <w:rPr>
      <w:b/>
      <w:bCs/>
      <w:sz w:val="20"/>
      <w:szCs w:val="20"/>
    </w:rPr>
  </w:style>
  <w:style w:type="character" w:styleId="FootnoteReference">
    <w:name w:val="footnote reference"/>
    <w:basedOn w:val="DefaultParagraphFont"/>
    <w:uiPriority w:val="99"/>
    <w:semiHidden/>
    <w:unhideWhenUsed/>
    <w:rsid w:val="001D169F"/>
    <w:rPr>
      <w:vertAlign w:val="superscript"/>
    </w:rPr>
  </w:style>
  <w:style w:type="paragraph" w:styleId="ListParagraph">
    <w:name w:val="List Paragraph"/>
    <w:basedOn w:val="Normal"/>
    <w:uiPriority w:val="34"/>
    <w:qFormat/>
    <w:rsid w:val="00707FE5"/>
    <w:pPr>
      <w:ind w:left="720"/>
      <w:contextualSpacing/>
    </w:pPr>
  </w:style>
  <w:style w:type="character" w:styleId="Hyperlink">
    <w:name w:val="Hyperlink"/>
    <w:basedOn w:val="DefaultParagraphFont"/>
    <w:uiPriority w:val="99"/>
    <w:unhideWhenUsed/>
    <w:rsid w:val="00CD238A"/>
    <w:rPr>
      <w:color w:val="0563C1" w:themeColor="hyperlink"/>
      <w:u w:val="single"/>
    </w:rPr>
  </w:style>
  <w:style w:type="character" w:styleId="UnresolvedMention">
    <w:name w:val="Unresolved Mention"/>
    <w:basedOn w:val="DefaultParagraphFont"/>
    <w:uiPriority w:val="99"/>
    <w:semiHidden/>
    <w:unhideWhenUsed/>
    <w:rsid w:val="00CD238A"/>
    <w:rPr>
      <w:color w:val="605E5C"/>
      <w:shd w:val="clear" w:color="auto" w:fill="E1DFDD"/>
    </w:rPr>
  </w:style>
  <w:style w:type="character" w:customStyle="1" w:styleId="xn-person">
    <w:name w:val="xn-person"/>
    <w:basedOn w:val="DefaultParagraphFont"/>
    <w:rsid w:val="00E43798"/>
  </w:style>
  <w:style w:type="paragraph" w:styleId="Revision">
    <w:name w:val="Revision"/>
    <w:hidden/>
    <w:uiPriority w:val="99"/>
    <w:semiHidden/>
    <w:rsid w:val="00E43798"/>
  </w:style>
  <w:style w:type="character" w:customStyle="1" w:styleId="AegeanNormalChar">
    <w:name w:val="Aegean Normal Char"/>
    <w:basedOn w:val="DefaultParagraphFont"/>
    <w:link w:val="AegeanNormal"/>
    <w:rsid w:val="008345C1"/>
    <w:rPr>
      <w:rFonts w:ascii="Calibri" w:hAnsi="Calibri"/>
      <w:color w:val="243587"/>
      <w:sz w:val="22"/>
      <w:szCs w:val="19"/>
      <w:lang w:val="el-GR"/>
    </w:rPr>
  </w:style>
  <w:style w:type="character" w:styleId="Emphasis">
    <w:name w:val="Emphasis"/>
    <w:basedOn w:val="DefaultParagraphFont"/>
    <w:uiPriority w:val="20"/>
    <w:qFormat/>
    <w:rsid w:val="00F36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018">
      <w:bodyDiv w:val="1"/>
      <w:marLeft w:val="0"/>
      <w:marRight w:val="0"/>
      <w:marTop w:val="0"/>
      <w:marBottom w:val="0"/>
      <w:divBdr>
        <w:top w:val="none" w:sz="0" w:space="0" w:color="auto"/>
        <w:left w:val="none" w:sz="0" w:space="0" w:color="auto"/>
        <w:bottom w:val="none" w:sz="0" w:space="0" w:color="auto"/>
        <w:right w:val="none" w:sz="0" w:space="0" w:color="auto"/>
      </w:divBdr>
    </w:div>
    <w:div w:id="30615542">
      <w:bodyDiv w:val="1"/>
      <w:marLeft w:val="0"/>
      <w:marRight w:val="0"/>
      <w:marTop w:val="0"/>
      <w:marBottom w:val="0"/>
      <w:divBdr>
        <w:top w:val="none" w:sz="0" w:space="0" w:color="auto"/>
        <w:left w:val="none" w:sz="0" w:space="0" w:color="auto"/>
        <w:bottom w:val="none" w:sz="0" w:space="0" w:color="auto"/>
        <w:right w:val="none" w:sz="0" w:space="0" w:color="auto"/>
      </w:divBdr>
    </w:div>
    <w:div w:id="81805426">
      <w:bodyDiv w:val="1"/>
      <w:marLeft w:val="0"/>
      <w:marRight w:val="0"/>
      <w:marTop w:val="0"/>
      <w:marBottom w:val="0"/>
      <w:divBdr>
        <w:top w:val="none" w:sz="0" w:space="0" w:color="auto"/>
        <w:left w:val="none" w:sz="0" w:space="0" w:color="auto"/>
        <w:bottom w:val="none" w:sz="0" w:space="0" w:color="auto"/>
        <w:right w:val="none" w:sz="0" w:space="0" w:color="auto"/>
      </w:divBdr>
    </w:div>
    <w:div w:id="95105964">
      <w:bodyDiv w:val="1"/>
      <w:marLeft w:val="0"/>
      <w:marRight w:val="0"/>
      <w:marTop w:val="0"/>
      <w:marBottom w:val="0"/>
      <w:divBdr>
        <w:top w:val="none" w:sz="0" w:space="0" w:color="auto"/>
        <w:left w:val="none" w:sz="0" w:space="0" w:color="auto"/>
        <w:bottom w:val="none" w:sz="0" w:space="0" w:color="auto"/>
        <w:right w:val="none" w:sz="0" w:space="0" w:color="auto"/>
      </w:divBdr>
    </w:div>
    <w:div w:id="105278094">
      <w:bodyDiv w:val="1"/>
      <w:marLeft w:val="0"/>
      <w:marRight w:val="0"/>
      <w:marTop w:val="0"/>
      <w:marBottom w:val="0"/>
      <w:divBdr>
        <w:top w:val="none" w:sz="0" w:space="0" w:color="auto"/>
        <w:left w:val="none" w:sz="0" w:space="0" w:color="auto"/>
        <w:bottom w:val="none" w:sz="0" w:space="0" w:color="auto"/>
        <w:right w:val="none" w:sz="0" w:space="0" w:color="auto"/>
      </w:divBdr>
    </w:div>
    <w:div w:id="114058189">
      <w:bodyDiv w:val="1"/>
      <w:marLeft w:val="0"/>
      <w:marRight w:val="0"/>
      <w:marTop w:val="0"/>
      <w:marBottom w:val="0"/>
      <w:divBdr>
        <w:top w:val="none" w:sz="0" w:space="0" w:color="auto"/>
        <w:left w:val="none" w:sz="0" w:space="0" w:color="auto"/>
        <w:bottom w:val="none" w:sz="0" w:space="0" w:color="auto"/>
        <w:right w:val="none" w:sz="0" w:space="0" w:color="auto"/>
      </w:divBdr>
    </w:div>
    <w:div w:id="193537520">
      <w:bodyDiv w:val="1"/>
      <w:marLeft w:val="0"/>
      <w:marRight w:val="0"/>
      <w:marTop w:val="0"/>
      <w:marBottom w:val="0"/>
      <w:divBdr>
        <w:top w:val="none" w:sz="0" w:space="0" w:color="auto"/>
        <w:left w:val="none" w:sz="0" w:space="0" w:color="auto"/>
        <w:bottom w:val="none" w:sz="0" w:space="0" w:color="auto"/>
        <w:right w:val="none" w:sz="0" w:space="0" w:color="auto"/>
      </w:divBdr>
    </w:div>
    <w:div w:id="249048859">
      <w:bodyDiv w:val="1"/>
      <w:marLeft w:val="0"/>
      <w:marRight w:val="0"/>
      <w:marTop w:val="0"/>
      <w:marBottom w:val="0"/>
      <w:divBdr>
        <w:top w:val="none" w:sz="0" w:space="0" w:color="auto"/>
        <w:left w:val="none" w:sz="0" w:space="0" w:color="auto"/>
        <w:bottom w:val="none" w:sz="0" w:space="0" w:color="auto"/>
        <w:right w:val="none" w:sz="0" w:space="0" w:color="auto"/>
      </w:divBdr>
    </w:div>
    <w:div w:id="261113706">
      <w:bodyDiv w:val="1"/>
      <w:marLeft w:val="0"/>
      <w:marRight w:val="0"/>
      <w:marTop w:val="0"/>
      <w:marBottom w:val="0"/>
      <w:divBdr>
        <w:top w:val="none" w:sz="0" w:space="0" w:color="auto"/>
        <w:left w:val="none" w:sz="0" w:space="0" w:color="auto"/>
        <w:bottom w:val="none" w:sz="0" w:space="0" w:color="auto"/>
        <w:right w:val="none" w:sz="0" w:space="0" w:color="auto"/>
      </w:divBdr>
    </w:div>
    <w:div w:id="279842742">
      <w:bodyDiv w:val="1"/>
      <w:marLeft w:val="0"/>
      <w:marRight w:val="0"/>
      <w:marTop w:val="0"/>
      <w:marBottom w:val="0"/>
      <w:divBdr>
        <w:top w:val="none" w:sz="0" w:space="0" w:color="auto"/>
        <w:left w:val="none" w:sz="0" w:space="0" w:color="auto"/>
        <w:bottom w:val="none" w:sz="0" w:space="0" w:color="auto"/>
        <w:right w:val="none" w:sz="0" w:space="0" w:color="auto"/>
      </w:divBdr>
    </w:div>
    <w:div w:id="290867638">
      <w:bodyDiv w:val="1"/>
      <w:marLeft w:val="0"/>
      <w:marRight w:val="0"/>
      <w:marTop w:val="0"/>
      <w:marBottom w:val="0"/>
      <w:divBdr>
        <w:top w:val="none" w:sz="0" w:space="0" w:color="auto"/>
        <w:left w:val="none" w:sz="0" w:space="0" w:color="auto"/>
        <w:bottom w:val="none" w:sz="0" w:space="0" w:color="auto"/>
        <w:right w:val="none" w:sz="0" w:space="0" w:color="auto"/>
      </w:divBdr>
    </w:div>
    <w:div w:id="304432254">
      <w:bodyDiv w:val="1"/>
      <w:marLeft w:val="0"/>
      <w:marRight w:val="0"/>
      <w:marTop w:val="0"/>
      <w:marBottom w:val="0"/>
      <w:divBdr>
        <w:top w:val="none" w:sz="0" w:space="0" w:color="auto"/>
        <w:left w:val="none" w:sz="0" w:space="0" w:color="auto"/>
        <w:bottom w:val="none" w:sz="0" w:space="0" w:color="auto"/>
        <w:right w:val="none" w:sz="0" w:space="0" w:color="auto"/>
      </w:divBdr>
    </w:div>
    <w:div w:id="309753525">
      <w:bodyDiv w:val="1"/>
      <w:marLeft w:val="0"/>
      <w:marRight w:val="0"/>
      <w:marTop w:val="0"/>
      <w:marBottom w:val="0"/>
      <w:divBdr>
        <w:top w:val="none" w:sz="0" w:space="0" w:color="auto"/>
        <w:left w:val="none" w:sz="0" w:space="0" w:color="auto"/>
        <w:bottom w:val="none" w:sz="0" w:space="0" w:color="auto"/>
        <w:right w:val="none" w:sz="0" w:space="0" w:color="auto"/>
      </w:divBdr>
    </w:div>
    <w:div w:id="310141924">
      <w:bodyDiv w:val="1"/>
      <w:marLeft w:val="0"/>
      <w:marRight w:val="0"/>
      <w:marTop w:val="0"/>
      <w:marBottom w:val="0"/>
      <w:divBdr>
        <w:top w:val="none" w:sz="0" w:space="0" w:color="auto"/>
        <w:left w:val="none" w:sz="0" w:space="0" w:color="auto"/>
        <w:bottom w:val="none" w:sz="0" w:space="0" w:color="auto"/>
        <w:right w:val="none" w:sz="0" w:space="0" w:color="auto"/>
      </w:divBdr>
    </w:div>
    <w:div w:id="337391802">
      <w:bodyDiv w:val="1"/>
      <w:marLeft w:val="0"/>
      <w:marRight w:val="0"/>
      <w:marTop w:val="0"/>
      <w:marBottom w:val="0"/>
      <w:divBdr>
        <w:top w:val="none" w:sz="0" w:space="0" w:color="auto"/>
        <w:left w:val="none" w:sz="0" w:space="0" w:color="auto"/>
        <w:bottom w:val="none" w:sz="0" w:space="0" w:color="auto"/>
        <w:right w:val="none" w:sz="0" w:space="0" w:color="auto"/>
      </w:divBdr>
    </w:div>
    <w:div w:id="363557825">
      <w:bodyDiv w:val="1"/>
      <w:marLeft w:val="0"/>
      <w:marRight w:val="0"/>
      <w:marTop w:val="0"/>
      <w:marBottom w:val="0"/>
      <w:divBdr>
        <w:top w:val="none" w:sz="0" w:space="0" w:color="auto"/>
        <w:left w:val="none" w:sz="0" w:space="0" w:color="auto"/>
        <w:bottom w:val="none" w:sz="0" w:space="0" w:color="auto"/>
        <w:right w:val="none" w:sz="0" w:space="0" w:color="auto"/>
      </w:divBdr>
    </w:div>
    <w:div w:id="402919579">
      <w:bodyDiv w:val="1"/>
      <w:marLeft w:val="0"/>
      <w:marRight w:val="0"/>
      <w:marTop w:val="0"/>
      <w:marBottom w:val="0"/>
      <w:divBdr>
        <w:top w:val="none" w:sz="0" w:space="0" w:color="auto"/>
        <w:left w:val="none" w:sz="0" w:space="0" w:color="auto"/>
        <w:bottom w:val="none" w:sz="0" w:space="0" w:color="auto"/>
        <w:right w:val="none" w:sz="0" w:space="0" w:color="auto"/>
      </w:divBdr>
    </w:div>
    <w:div w:id="407113471">
      <w:bodyDiv w:val="1"/>
      <w:marLeft w:val="0"/>
      <w:marRight w:val="0"/>
      <w:marTop w:val="0"/>
      <w:marBottom w:val="0"/>
      <w:divBdr>
        <w:top w:val="none" w:sz="0" w:space="0" w:color="auto"/>
        <w:left w:val="none" w:sz="0" w:space="0" w:color="auto"/>
        <w:bottom w:val="none" w:sz="0" w:space="0" w:color="auto"/>
        <w:right w:val="none" w:sz="0" w:space="0" w:color="auto"/>
      </w:divBdr>
    </w:div>
    <w:div w:id="423454039">
      <w:bodyDiv w:val="1"/>
      <w:marLeft w:val="0"/>
      <w:marRight w:val="0"/>
      <w:marTop w:val="0"/>
      <w:marBottom w:val="0"/>
      <w:divBdr>
        <w:top w:val="none" w:sz="0" w:space="0" w:color="auto"/>
        <w:left w:val="none" w:sz="0" w:space="0" w:color="auto"/>
        <w:bottom w:val="none" w:sz="0" w:space="0" w:color="auto"/>
        <w:right w:val="none" w:sz="0" w:space="0" w:color="auto"/>
      </w:divBdr>
    </w:div>
    <w:div w:id="493690600">
      <w:bodyDiv w:val="1"/>
      <w:marLeft w:val="0"/>
      <w:marRight w:val="0"/>
      <w:marTop w:val="0"/>
      <w:marBottom w:val="0"/>
      <w:divBdr>
        <w:top w:val="none" w:sz="0" w:space="0" w:color="auto"/>
        <w:left w:val="none" w:sz="0" w:space="0" w:color="auto"/>
        <w:bottom w:val="none" w:sz="0" w:space="0" w:color="auto"/>
        <w:right w:val="none" w:sz="0" w:space="0" w:color="auto"/>
      </w:divBdr>
    </w:div>
    <w:div w:id="653148506">
      <w:bodyDiv w:val="1"/>
      <w:marLeft w:val="0"/>
      <w:marRight w:val="0"/>
      <w:marTop w:val="0"/>
      <w:marBottom w:val="0"/>
      <w:divBdr>
        <w:top w:val="none" w:sz="0" w:space="0" w:color="auto"/>
        <w:left w:val="none" w:sz="0" w:space="0" w:color="auto"/>
        <w:bottom w:val="none" w:sz="0" w:space="0" w:color="auto"/>
        <w:right w:val="none" w:sz="0" w:space="0" w:color="auto"/>
      </w:divBdr>
    </w:div>
    <w:div w:id="741607302">
      <w:bodyDiv w:val="1"/>
      <w:marLeft w:val="0"/>
      <w:marRight w:val="0"/>
      <w:marTop w:val="0"/>
      <w:marBottom w:val="0"/>
      <w:divBdr>
        <w:top w:val="none" w:sz="0" w:space="0" w:color="auto"/>
        <w:left w:val="none" w:sz="0" w:space="0" w:color="auto"/>
        <w:bottom w:val="none" w:sz="0" w:space="0" w:color="auto"/>
        <w:right w:val="none" w:sz="0" w:space="0" w:color="auto"/>
      </w:divBdr>
    </w:div>
    <w:div w:id="743724893">
      <w:bodyDiv w:val="1"/>
      <w:marLeft w:val="0"/>
      <w:marRight w:val="0"/>
      <w:marTop w:val="0"/>
      <w:marBottom w:val="0"/>
      <w:divBdr>
        <w:top w:val="none" w:sz="0" w:space="0" w:color="auto"/>
        <w:left w:val="none" w:sz="0" w:space="0" w:color="auto"/>
        <w:bottom w:val="none" w:sz="0" w:space="0" w:color="auto"/>
        <w:right w:val="none" w:sz="0" w:space="0" w:color="auto"/>
      </w:divBdr>
    </w:div>
    <w:div w:id="766577497">
      <w:bodyDiv w:val="1"/>
      <w:marLeft w:val="0"/>
      <w:marRight w:val="0"/>
      <w:marTop w:val="0"/>
      <w:marBottom w:val="0"/>
      <w:divBdr>
        <w:top w:val="none" w:sz="0" w:space="0" w:color="auto"/>
        <w:left w:val="none" w:sz="0" w:space="0" w:color="auto"/>
        <w:bottom w:val="none" w:sz="0" w:space="0" w:color="auto"/>
        <w:right w:val="none" w:sz="0" w:space="0" w:color="auto"/>
      </w:divBdr>
    </w:div>
    <w:div w:id="885291406">
      <w:bodyDiv w:val="1"/>
      <w:marLeft w:val="0"/>
      <w:marRight w:val="0"/>
      <w:marTop w:val="0"/>
      <w:marBottom w:val="0"/>
      <w:divBdr>
        <w:top w:val="none" w:sz="0" w:space="0" w:color="auto"/>
        <w:left w:val="none" w:sz="0" w:space="0" w:color="auto"/>
        <w:bottom w:val="none" w:sz="0" w:space="0" w:color="auto"/>
        <w:right w:val="none" w:sz="0" w:space="0" w:color="auto"/>
      </w:divBdr>
    </w:div>
    <w:div w:id="898437979">
      <w:bodyDiv w:val="1"/>
      <w:marLeft w:val="0"/>
      <w:marRight w:val="0"/>
      <w:marTop w:val="0"/>
      <w:marBottom w:val="0"/>
      <w:divBdr>
        <w:top w:val="none" w:sz="0" w:space="0" w:color="auto"/>
        <w:left w:val="none" w:sz="0" w:space="0" w:color="auto"/>
        <w:bottom w:val="none" w:sz="0" w:space="0" w:color="auto"/>
        <w:right w:val="none" w:sz="0" w:space="0" w:color="auto"/>
      </w:divBdr>
    </w:div>
    <w:div w:id="923800400">
      <w:bodyDiv w:val="1"/>
      <w:marLeft w:val="0"/>
      <w:marRight w:val="0"/>
      <w:marTop w:val="0"/>
      <w:marBottom w:val="0"/>
      <w:divBdr>
        <w:top w:val="none" w:sz="0" w:space="0" w:color="auto"/>
        <w:left w:val="none" w:sz="0" w:space="0" w:color="auto"/>
        <w:bottom w:val="none" w:sz="0" w:space="0" w:color="auto"/>
        <w:right w:val="none" w:sz="0" w:space="0" w:color="auto"/>
      </w:divBdr>
    </w:div>
    <w:div w:id="989360351">
      <w:bodyDiv w:val="1"/>
      <w:marLeft w:val="0"/>
      <w:marRight w:val="0"/>
      <w:marTop w:val="0"/>
      <w:marBottom w:val="0"/>
      <w:divBdr>
        <w:top w:val="none" w:sz="0" w:space="0" w:color="auto"/>
        <w:left w:val="none" w:sz="0" w:space="0" w:color="auto"/>
        <w:bottom w:val="none" w:sz="0" w:space="0" w:color="auto"/>
        <w:right w:val="none" w:sz="0" w:space="0" w:color="auto"/>
      </w:divBdr>
    </w:div>
    <w:div w:id="1009868660">
      <w:bodyDiv w:val="1"/>
      <w:marLeft w:val="0"/>
      <w:marRight w:val="0"/>
      <w:marTop w:val="0"/>
      <w:marBottom w:val="0"/>
      <w:divBdr>
        <w:top w:val="none" w:sz="0" w:space="0" w:color="auto"/>
        <w:left w:val="none" w:sz="0" w:space="0" w:color="auto"/>
        <w:bottom w:val="none" w:sz="0" w:space="0" w:color="auto"/>
        <w:right w:val="none" w:sz="0" w:space="0" w:color="auto"/>
      </w:divBdr>
    </w:div>
    <w:div w:id="1061320194">
      <w:bodyDiv w:val="1"/>
      <w:marLeft w:val="0"/>
      <w:marRight w:val="0"/>
      <w:marTop w:val="0"/>
      <w:marBottom w:val="0"/>
      <w:divBdr>
        <w:top w:val="none" w:sz="0" w:space="0" w:color="auto"/>
        <w:left w:val="none" w:sz="0" w:space="0" w:color="auto"/>
        <w:bottom w:val="none" w:sz="0" w:space="0" w:color="auto"/>
        <w:right w:val="none" w:sz="0" w:space="0" w:color="auto"/>
      </w:divBdr>
    </w:div>
    <w:div w:id="1077478299">
      <w:bodyDiv w:val="1"/>
      <w:marLeft w:val="0"/>
      <w:marRight w:val="0"/>
      <w:marTop w:val="0"/>
      <w:marBottom w:val="0"/>
      <w:divBdr>
        <w:top w:val="none" w:sz="0" w:space="0" w:color="auto"/>
        <w:left w:val="none" w:sz="0" w:space="0" w:color="auto"/>
        <w:bottom w:val="none" w:sz="0" w:space="0" w:color="auto"/>
        <w:right w:val="none" w:sz="0" w:space="0" w:color="auto"/>
      </w:divBdr>
    </w:div>
    <w:div w:id="1213470013">
      <w:bodyDiv w:val="1"/>
      <w:marLeft w:val="0"/>
      <w:marRight w:val="0"/>
      <w:marTop w:val="0"/>
      <w:marBottom w:val="0"/>
      <w:divBdr>
        <w:top w:val="none" w:sz="0" w:space="0" w:color="auto"/>
        <w:left w:val="none" w:sz="0" w:space="0" w:color="auto"/>
        <w:bottom w:val="none" w:sz="0" w:space="0" w:color="auto"/>
        <w:right w:val="none" w:sz="0" w:space="0" w:color="auto"/>
      </w:divBdr>
    </w:div>
    <w:div w:id="1280605659">
      <w:bodyDiv w:val="1"/>
      <w:marLeft w:val="0"/>
      <w:marRight w:val="0"/>
      <w:marTop w:val="0"/>
      <w:marBottom w:val="0"/>
      <w:divBdr>
        <w:top w:val="none" w:sz="0" w:space="0" w:color="auto"/>
        <w:left w:val="none" w:sz="0" w:space="0" w:color="auto"/>
        <w:bottom w:val="none" w:sz="0" w:space="0" w:color="auto"/>
        <w:right w:val="none" w:sz="0" w:space="0" w:color="auto"/>
      </w:divBdr>
    </w:div>
    <w:div w:id="1321694232">
      <w:bodyDiv w:val="1"/>
      <w:marLeft w:val="0"/>
      <w:marRight w:val="0"/>
      <w:marTop w:val="0"/>
      <w:marBottom w:val="0"/>
      <w:divBdr>
        <w:top w:val="none" w:sz="0" w:space="0" w:color="auto"/>
        <w:left w:val="none" w:sz="0" w:space="0" w:color="auto"/>
        <w:bottom w:val="none" w:sz="0" w:space="0" w:color="auto"/>
        <w:right w:val="none" w:sz="0" w:space="0" w:color="auto"/>
      </w:divBdr>
    </w:div>
    <w:div w:id="1348407745">
      <w:bodyDiv w:val="1"/>
      <w:marLeft w:val="0"/>
      <w:marRight w:val="0"/>
      <w:marTop w:val="0"/>
      <w:marBottom w:val="0"/>
      <w:divBdr>
        <w:top w:val="none" w:sz="0" w:space="0" w:color="auto"/>
        <w:left w:val="none" w:sz="0" w:space="0" w:color="auto"/>
        <w:bottom w:val="none" w:sz="0" w:space="0" w:color="auto"/>
        <w:right w:val="none" w:sz="0" w:space="0" w:color="auto"/>
      </w:divBdr>
    </w:div>
    <w:div w:id="1435588444">
      <w:bodyDiv w:val="1"/>
      <w:marLeft w:val="0"/>
      <w:marRight w:val="0"/>
      <w:marTop w:val="0"/>
      <w:marBottom w:val="0"/>
      <w:divBdr>
        <w:top w:val="none" w:sz="0" w:space="0" w:color="auto"/>
        <w:left w:val="none" w:sz="0" w:space="0" w:color="auto"/>
        <w:bottom w:val="none" w:sz="0" w:space="0" w:color="auto"/>
        <w:right w:val="none" w:sz="0" w:space="0" w:color="auto"/>
      </w:divBdr>
    </w:div>
    <w:div w:id="1461344270">
      <w:bodyDiv w:val="1"/>
      <w:marLeft w:val="0"/>
      <w:marRight w:val="0"/>
      <w:marTop w:val="0"/>
      <w:marBottom w:val="0"/>
      <w:divBdr>
        <w:top w:val="none" w:sz="0" w:space="0" w:color="auto"/>
        <w:left w:val="none" w:sz="0" w:space="0" w:color="auto"/>
        <w:bottom w:val="none" w:sz="0" w:space="0" w:color="auto"/>
        <w:right w:val="none" w:sz="0" w:space="0" w:color="auto"/>
      </w:divBdr>
    </w:div>
    <w:div w:id="1536382700">
      <w:bodyDiv w:val="1"/>
      <w:marLeft w:val="0"/>
      <w:marRight w:val="0"/>
      <w:marTop w:val="0"/>
      <w:marBottom w:val="0"/>
      <w:divBdr>
        <w:top w:val="none" w:sz="0" w:space="0" w:color="auto"/>
        <w:left w:val="none" w:sz="0" w:space="0" w:color="auto"/>
        <w:bottom w:val="none" w:sz="0" w:space="0" w:color="auto"/>
        <w:right w:val="none" w:sz="0" w:space="0" w:color="auto"/>
      </w:divBdr>
    </w:div>
    <w:div w:id="1563102754">
      <w:bodyDiv w:val="1"/>
      <w:marLeft w:val="0"/>
      <w:marRight w:val="0"/>
      <w:marTop w:val="0"/>
      <w:marBottom w:val="0"/>
      <w:divBdr>
        <w:top w:val="none" w:sz="0" w:space="0" w:color="auto"/>
        <w:left w:val="none" w:sz="0" w:space="0" w:color="auto"/>
        <w:bottom w:val="none" w:sz="0" w:space="0" w:color="auto"/>
        <w:right w:val="none" w:sz="0" w:space="0" w:color="auto"/>
      </w:divBdr>
    </w:div>
    <w:div w:id="1567885348">
      <w:bodyDiv w:val="1"/>
      <w:marLeft w:val="0"/>
      <w:marRight w:val="0"/>
      <w:marTop w:val="0"/>
      <w:marBottom w:val="0"/>
      <w:divBdr>
        <w:top w:val="none" w:sz="0" w:space="0" w:color="auto"/>
        <w:left w:val="none" w:sz="0" w:space="0" w:color="auto"/>
        <w:bottom w:val="none" w:sz="0" w:space="0" w:color="auto"/>
        <w:right w:val="none" w:sz="0" w:space="0" w:color="auto"/>
      </w:divBdr>
    </w:div>
    <w:div w:id="1698702015">
      <w:bodyDiv w:val="1"/>
      <w:marLeft w:val="0"/>
      <w:marRight w:val="0"/>
      <w:marTop w:val="0"/>
      <w:marBottom w:val="0"/>
      <w:divBdr>
        <w:top w:val="none" w:sz="0" w:space="0" w:color="auto"/>
        <w:left w:val="none" w:sz="0" w:space="0" w:color="auto"/>
        <w:bottom w:val="none" w:sz="0" w:space="0" w:color="auto"/>
        <w:right w:val="none" w:sz="0" w:space="0" w:color="auto"/>
      </w:divBdr>
    </w:div>
    <w:div w:id="1735083407">
      <w:bodyDiv w:val="1"/>
      <w:marLeft w:val="0"/>
      <w:marRight w:val="0"/>
      <w:marTop w:val="0"/>
      <w:marBottom w:val="0"/>
      <w:divBdr>
        <w:top w:val="none" w:sz="0" w:space="0" w:color="auto"/>
        <w:left w:val="none" w:sz="0" w:space="0" w:color="auto"/>
        <w:bottom w:val="none" w:sz="0" w:space="0" w:color="auto"/>
        <w:right w:val="none" w:sz="0" w:space="0" w:color="auto"/>
      </w:divBdr>
    </w:div>
    <w:div w:id="1812167458">
      <w:bodyDiv w:val="1"/>
      <w:marLeft w:val="0"/>
      <w:marRight w:val="0"/>
      <w:marTop w:val="0"/>
      <w:marBottom w:val="0"/>
      <w:divBdr>
        <w:top w:val="none" w:sz="0" w:space="0" w:color="auto"/>
        <w:left w:val="none" w:sz="0" w:space="0" w:color="auto"/>
        <w:bottom w:val="none" w:sz="0" w:space="0" w:color="auto"/>
        <w:right w:val="none" w:sz="0" w:space="0" w:color="auto"/>
      </w:divBdr>
    </w:div>
    <w:div w:id="1818838211">
      <w:bodyDiv w:val="1"/>
      <w:marLeft w:val="0"/>
      <w:marRight w:val="0"/>
      <w:marTop w:val="0"/>
      <w:marBottom w:val="0"/>
      <w:divBdr>
        <w:top w:val="none" w:sz="0" w:space="0" w:color="auto"/>
        <w:left w:val="none" w:sz="0" w:space="0" w:color="auto"/>
        <w:bottom w:val="none" w:sz="0" w:space="0" w:color="auto"/>
        <w:right w:val="none" w:sz="0" w:space="0" w:color="auto"/>
      </w:divBdr>
    </w:div>
    <w:div w:id="1879779591">
      <w:bodyDiv w:val="1"/>
      <w:marLeft w:val="0"/>
      <w:marRight w:val="0"/>
      <w:marTop w:val="0"/>
      <w:marBottom w:val="0"/>
      <w:divBdr>
        <w:top w:val="none" w:sz="0" w:space="0" w:color="auto"/>
        <w:left w:val="none" w:sz="0" w:space="0" w:color="auto"/>
        <w:bottom w:val="none" w:sz="0" w:space="0" w:color="auto"/>
        <w:right w:val="none" w:sz="0" w:space="0" w:color="auto"/>
      </w:divBdr>
    </w:div>
    <w:div w:id="1967346945">
      <w:bodyDiv w:val="1"/>
      <w:marLeft w:val="0"/>
      <w:marRight w:val="0"/>
      <w:marTop w:val="0"/>
      <w:marBottom w:val="0"/>
      <w:divBdr>
        <w:top w:val="none" w:sz="0" w:space="0" w:color="auto"/>
        <w:left w:val="none" w:sz="0" w:space="0" w:color="auto"/>
        <w:bottom w:val="none" w:sz="0" w:space="0" w:color="auto"/>
        <w:right w:val="none" w:sz="0" w:space="0" w:color="auto"/>
      </w:divBdr>
    </w:div>
    <w:div w:id="2108187914">
      <w:bodyDiv w:val="1"/>
      <w:marLeft w:val="0"/>
      <w:marRight w:val="0"/>
      <w:marTop w:val="0"/>
      <w:marBottom w:val="0"/>
      <w:divBdr>
        <w:top w:val="none" w:sz="0" w:space="0" w:color="auto"/>
        <w:left w:val="none" w:sz="0" w:space="0" w:color="auto"/>
        <w:bottom w:val="none" w:sz="0" w:space="0" w:color="auto"/>
        <w:right w:val="none" w:sz="0" w:space="0" w:color="auto"/>
      </w:divBdr>
    </w:div>
    <w:div w:id="2111660172">
      <w:bodyDiv w:val="1"/>
      <w:marLeft w:val="0"/>
      <w:marRight w:val="0"/>
      <w:marTop w:val="0"/>
      <w:marBottom w:val="0"/>
      <w:divBdr>
        <w:top w:val="none" w:sz="0" w:space="0" w:color="auto"/>
        <w:left w:val="none" w:sz="0" w:space="0" w:color="auto"/>
        <w:bottom w:val="none" w:sz="0" w:space="0" w:color="auto"/>
        <w:right w:val="none" w:sz="0" w:space="0" w:color="auto"/>
      </w:divBdr>
    </w:div>
    <w:div w:id="21301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023711838AA48BE0D44C1AA7ED9BB" ma:contentTypeVersion="30" ma:contentTypeDescription="Create a new document." ma:contentTypeScope="" ma:versionID="c7927cb44d34fd910dd61b4ed9ca5b3a">
  <xsd:schema xmlns:xsd="http://www.w3.org/2001/XMLSchema" xmlns:xs="http://www.w3.org/2001/XMLSchema" xmlns:p="http://schemas.microsoft.com/office/2006/metadata/properties" xmlns:ns2="bef9ce95-d731-4245-ac9f-3fdcfde03d2c" xmlns:ns3="bae7db81-8a76-49dc-873a-2cf985890e39" targetNamespace="http://schemas.microsoft.com/office/2006/metadata/properties" ma:root="true" ma:fieldsID="2fd08e126cf4fb91c87ca43d66a9ed9c" ns2:_="" ns3:_="">
    <xsd:import namespace="bef9ce95-d731-4245-ac9f-3fdcfde03d2c"/>
    <xsd:import namespace="bae7db81-8a76-49dc-873a-2cf985890e39"/>
    <xsd:element name="properties">
      <xsd:complexType>
        <xsd:sequence>
          <xsd:element name="documentManagement">
            <xsd:complexType>
              <xsd:all>
                <xsd:element ref="ns2:DocumentDate"/>
                <xsd:element ref="ns2:PublicDocument" minOccurs="0"/>
                <xsd:element ref="ns2:SDepartment"/>
                <xsd:element ref="ns2:Tag1" minOccurs="0"/>
                <xsd:element ref="ns2:Tag1_x003a_Title" minOccurs="0"/>
                <xsd:element ref="ns2:Tag1_x003a_ID" minOccurs="0"/>
                <xsd:element ref="ns2:Tag2" minOccurs="0"/>
                <xsd:element ref="ns2:Tag2_x003a_Title" minOccurs="0"/>
                <xsd:element ref="ns2:Tag2_x003a_ID" minOccurs="0"/>
                <xsd:element ref="ns2:Tag3" minOccurs="0"/>
                <xsd:element ref="ns2:Tag3_x003a_ID" minOccurs="0"/>
                <xsd:element ref="ns2:Tag3_x003a_Title" minOccurs="0"/>
                <xsd:element ref="ns3:SDepartment_x003a_Title" minOccurs="0"/>
                <xsd:element ref="ns3:SDepartment_x003a_SAPId" minOccurs="0"/>
                <xsd:element ref="ns3:SDepartment_x003a_ID" minOccurs="0"/>
                <xsd:element ref="ns2:SListSearchId" minOccurs="0"/>
                <xsd:element ref="ns2:SMDepartments" minOccurs="0"/>
                <xsd:element ref="ns3:SMDepartments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ce95-d731-4245-ac9f-3fdcfde03d2c" elementFormDefault="qualified">
    <xsd:import namespace="http://schemas.microsoft.com/office/2006/documentManagement/types"/>
    <xsd:import namespace="http://schemas.microsoft.com/office/infopath/2007/PartnerControls"/>
    <xsd:element name="DocumentDate" ma:index="8" ma:displayName="Document Date" ma:default="[today]" ma:format="DateOnly" ma:internalName="DocumentDate">
      <xsd:simpleType>
        <xsd:restriction base="dms:DateTime"/>
      </xsd:simpleType>
    </xsd:element>
    <xsd:element name="PublicDocument" ma:index="9" nillable="true" ma:displayName="Public Document" ma:default="1" ma:internalName="PublicDocument">
      <xsd:simpleType>
        <xsd:restriction base="dms:Boolean"/>
      </xsd:simpleType>
    </xsd:element>
    <xsd:element name="SDepartment" ma:index="10" ma:displayName="Department" ma:list="{6546078e-5d16-4dc2-8a5a-e55a99ec455c}" ma:internalName="SDepartment" ma:readOnly="false" ma:showField="Title" ma:web="bef9ce95-d731-4245-ac9f-3fdcfde03d2c">
      <xsd:simpleType>
        <xsd:restriction base="dms:Lookup"/>
      </xsd:simpleType>
    </xsd:element>
    <xsd:element name="Tag1" ma:index="11" nillable="true" ma:displayName="Tag1" ma:list="{44565704-0632-486c-bc36-93b79014d7ea}" ma:internalName="_x0054_ag1" ma:showField="Title" ma:web="bef9ce95-d731-4245-ac9f-3fdcfde03d2c">
      <xsd:simpleType>
        <xsd:restriction base="dms:Lookup"/>
      </xsd:simpleType>
    </xsd:element>
    <xsd:element name="Tag1_x003a_Title" ma:index="12" nillable="true" ma:displayName="Tag1:Title" ma:list="{44565704-0632-486c-bc36-93b79014d7ea}" ma:internalName="Tag1_x003A_Title" ma:readOnly="true" ma:showField="Title" ma:web="bef9ce95-d731-4245-ac9f-3fdcfde03d2c">
      <xsd:simpleType>
        <xsd:restriction base="dms:Lookup"/>
      </xsd:simpleType>
    </xsd:element>
    <xsd:element name="Tag1_x003a_ID" ma:index="13" nillable="true" ma:displayName="Tag1:ID" ma:list="{44565704-0632-486c-bc36-93b79014d7ea}" ma:internalName="Tag1_x003A_ID" ma:readOnly="true" ma:showField="ID" ma:web="bef9ce95-d731-4245-ac9f-3fdcfde03d2c">
      <xsd:simpleType>
        <xsd:restriction base="dms:Lookup"/>
      </xsd:simpleType>
    </xsd:element>
    <xsd:element name="Tag2" ma:index="14" nillable="true" ma:displayName="Tag2" ma:list="{44565704-0632-486c-bc36-93b79014d7ea}" ma:internalName="_x0054_ag2" ma:showField="Title" ma:web="bef9ce95-d731-4245-ac9f-3fdcfde03d2c">
      <xsd:simpleType>
        <xsd:restriction base="dms:Lookup"/>
      </xsd:simpleType>
    </xsd:element>
    <xsd:element name="Tag2_x003a_Title" ma:index="15" nillable="true" ma:displayName="Tag2:Title" ma:list="{44565704-0632-486c-bc36-93b79014d7ea}" ma:internalName="Tag2_x003A_Title" ma:readOnly="true" ma:showField="Title" ma:web="bef9ce95-d731-4245-ac9f-3fdcfde03d2c">
      <xsd:simpleType>
        <xsd:restriction base="dms:Lookup"/>
      </xsd:simpleType>
    </xsd:element>
    <xsd:element name="Tag2_x003a_ID" ma:index="16" nillable="true" ma:displayName="Tag2:ID" ma:list="{44565704-0632-486c-bc36-93b79014d7ea}" ma:internalName="Tag2_x003A_ID" ma:readOnly="true" ma:showField="ID" ma:web="bef9ce95-d731-4245-ac9f-3fdcfde03d2c">
      <xsd:simpleType>
        <xsd:restriction base="dms:Lookup"/>
      </xsd:simpleType>
    </xsd:element>
    <xsd:element name="Tag3" ma:index="17" nillable="true" ma:displayName="Tag3" ma:list="{44565704-0632-486c-bc36-93b79014d7ea}" ma:internalName="_x0054_ag3" ma:showField="Title" ma:web="bef9ce95-d731-4245-ac9f-3fdcfde03d2c">
      <xsd:simpleType>
        <xsd:restriction base="dms:Lookup"/>
      </xsd:simpleType>
    </xsd:element>
    <xsd:element name="Tag3_x003a_ID" ma:index="18" nillable="true" ma:displayName="Tag3:ID" ma:list="{44565704-0632-486c-bc36-93b79014d7ea}" ma:internalName="Tag3_x003A_ID" ma:readOnly="true" ma:showField="ID" ma:web="bef9ce95-d731-4245-ac9f-3fdcfde03d2c">
      <xsd:simpleType>
        <xsd:restriction base="dms:Lookup"/>
      </xsd:simpleType>
    </xsd:element>
    <xsd:element name="Tag3_x003a_Title" ma:index="19" nillable="true" ma:displayName="Tag3:Title" ma:list="{44565704-0632-486c-bc36-93b79014d7ea}" ma:internalName="Tag3_x003A_Title" ma:readOnly="true" ma:showField="Title" ma:web="bef9ce95-d731-4245-ac9f-3fdcfde03d2c">
      <xsd:simpleType>
        <xsd:restriction base="dms:Lookup"/>
      </xsd:simpleType>
    </xsd:element>
    <xsd:element name="SListSearchId" ma:index="23" nillable="true" ma:displayName="SListSearchId" ma:decimals="0" ma:default="3" ma:internalName="SListSearchId" ma:percentage="FALSE">
      <xsd:simpleType>
        <xsd:restriction base="dms:Number">
          <xsd:minInclusive value="0"/>
        </xsd:restriction>
      </xsd:simpleType>
    </xsd:element>
    <xsd:element name="SMDepartments" ma:index="24" nillable="true" ma:displayName="SMDepartments" ma:list="{6546078e-5d16-4dc2-8a5a-e55a99ec455c}" ma:internalName="SMDepartments" ma:readOnly="false" ma:showField="Title"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e7db81-8a76-49dc-873a-2cf985890e39" elementFormDefault="qualified">
    <xsd:import namespace="http://schemas.microsoft.com/office/2006/documentManagement/types"/>
    <xsd:import namespace="http://schemas.microsoft.com/office/infopath/2007/PartnerControls"/>
    <xsd:element name="SDepartment_x003a_Title" ma:index="20" nillable="true" ma:displayName="SDepartment:Title" ma:list="{6546078e-5d16-4dc2-8a5a-e55a99ec455c}" ma:internalName="SDepartment_x003a_Title" ma:readOnly="true" ma:showField="Title" ma:web="bef9ce95-d731-4245-ac9f-3fdcfde03d2c">
      <xsd:simpleType>
        <xsd:restriction base="dms:Lookup"/>
      </xsd:simpleType>
    </xsd:element>
    <xsd:element name="SDepartment_x003a_SAPId" ma:index="21" nillable="true" ma:displayName="SDepartment:SAPId" ma:list="{6546078e-5d16-4dc2-8a5a-e55a99ec455c}" ma:internalName="SDepartment_x003a_SAPId" ma:readOnly="true" ma:showField="SAPId" ma:web="bef9ce95-d731-4245-ac9f-3fdcfde03d2c">
      <xsd:simpleType>
        <xsd:restriction base="dms:Lookup"/>
      </xsd:simpleType>
    </xsd:element>
    <xsd:element name="SDepartment_x003a_ID" ma:index="22" nillable="true" ma:displayName="SDepartment:ID" ma:list="{6546078e-5d16-4dc2-8a5a-e55a99ec455c}" ma:internalName="SDepartment_x003a_ID" ma:readOnly="true" ma:showField="ID" ma:web="bef9ce95-d731-4245-ac9f-3fdcfde03d2c">
      <xsd:simpleType>
        <xsd:restriction base="dms:Lookup"/>
      </xsd:simpleType>
    </xsd:element>
    <xsd:element name="SMDepartments_x003a_ID" ma:index="25" nillable="true" ma:displayName="SMDepartments:ID" ma:list="{6546078e-5d16-4dc2-8a5a-e55a99ec455c}" ma:internalName="SMDepartments_x003a_ID" ma:readOnly="true" ma:showField="ID" ma:web="bef9ce95-d731-4245-ac9f-3fdcfde03d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Department xmlns="bef9ce95-d731-4245-ac9f-3fdcfde03d2c">238</SDepartment>
    <SListSearchId xmlns="bef9ce95-d731-4245-ac9f-3fdcfde03d2c">3</SListSearchId>
    <Tag1 xmlns="bef9ce95-d731-4245-ac9f-3fdcfde03d2c">17</Tag1>
    <DocumentDate xmlns="bef9ce95-d731-4245-ac9f-3fdcfde03d2c">2021-10-12T21:00:00+00:00</DocumentDate>
    <Tag2 xmlns="bef9ce95-d731-4245-ac9f-3fdcfde03d2c" xsi:nil="true"/>
    <Tag3 xmlns="bef9ce95-d731-4245-ac9f-3fdcfde03d2c" xsi:nil="true"/>
    <SMDepartments xmlns="bef9ce95-d731-4245-ac9f-3fdcfde03d2c">
      <Value>238</Value>
    </SMDepartments>
    <PublicDocument xmlns="bef9ce95-d731-4245-ac9f-3fdcfde03d2c">true</Public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F0F7C57A-039F-4AEC-BF24-1AF5C6BBA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ce95-d731-4245-ac9f-3fdcfde03d2c"/>
    <ds:schemaRef ds:uri="bae7db81-8a76-49dc-873a-2cf985890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B1ADB-F8FA-469C-A5EE-1B555EC69B85}">
  <ds:schemaRefs>
    <ds:schemaRef ds:uri="bef9ce95-d731-4245-ac9f-3fdcfde03d2c"/>
    <ds:schemaRef ds:uri="http://purl.org/dc/terms/"/>
    <ds:schemaRef ds:uri="http://schemas.microsoft.com/office/infopath/2007/PartnerControls"/>
    <ds:schemaRef ds:uri="bae7db81-8a76-49dc-873a-2cf985890e39"/>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1DE132C-FC10-4F64-8730-4875610AA6D5}">
  <ds:schemaRefs>
    <ds:schemaRef ds:uri="http://schemas.microsoft.com/sharepoint/v3/contenttype/forms"/>
  </ds:schemaRefs>
</ds:datastoreItem>
</file>

<file path=customXml/itemProps4.xml><?xml version="1.0" encoding="utf-8"?>
<ds:datastoreItem xmlns:ds="http://schemas.openxmlformats.org/officeDocument/2006/customXml" ds:itemID="{BD9FC58B-4FA6-4345-8B4F-560159F8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8</Pages>
  <Words>1566</Words>
  <Characters>8460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Katelani Anthi</cp:lastModifiedBy>
  <cp:revision>101</cp:revision>
  <cp:lastPrinted>2023-05-16T06:52:00Z</cp:lastPrinted>
  <dcterms:created xsi:type="dcterms:W3CDTF">2023-05-10T08:57:00Z</dcterms:created>
  <dcterms:modified xsi:type="dcterms:W3CDTF">2023-05-16T14:20:00Z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0x0101003DC023711838AA48BE0D44C1AA7ED9BB</vt:lpwstr>
  </property>
</Properties>
</file>