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6F37D0" w:rsidRPr="0068536A" w14:paraId="2D0C3266" w14:textId="77777777" w:rsidTr="00F26854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7C07CC97" w14:textId="135FB9BD" w:rsidR="00C711D6" w:rsidRPr="00766A4F" w:rsidRDefault="00202E1D" w:rsidP="008F134F">
            <w:pPr>
              <w:tabs>
                <w:tab w:val="left" w:pos="4680"/>
                <w:tab w:val="left" w:pos="8100"/>
              </w:tabs>
              <w:spacing w:before="60"/>
              <w:ind w:right="142" w:firstLine="142"/>
              <w:rPr>
                <w:i/>
                <w:noProof/>
                <w:szCs w:val="22"/>
                <w:lang w:eastAsia="en-GB"/>
              </w:rPr>
            </w:pPr>
            <w:r>
              <w:rPr>
                <w:i/>
                <w:noProof/>
                <w:szCs w:val="22"/>
                <w:lang w:val="el-GR"/>
              </w:rPr>
              <w:drawing>
                <wp:inline distT="0" distB="0" distL="0" distR="0" wp14:anchorId="312795EE" wp14:editId="56AFA48D">
                  <wp:extent cx="1621155" cy="873125"/>
                  <wp:effectExtent l="0" t="0" r="0" b="0"/>
                  <wp:docPr id="3" name="Picture 1" descr="LOGO TE - small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 - small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5240B291" w14:textId="77777777" w:rsidR="00375D2B" w:rsidRDefault="00375D2B" w:rsidP="00375D2B">
            <w:pPr>
              <w:pStyle w:val="Heading1"/>
              <w:jc w:val="right"/>
              <w:rPr>
                <w:b/>
                <w:i w:val="0"/>
                <w:noProof/>
                <w:sz w:val="32"/>
                <w:szCs w:val="22"/>
                <w:u w:val="none"/>
                <w:lang w:eastAsia="en-GB"/>
              </w:rPr>
            </w:pPr>
          </w:p>
          <w:p w14:paraId="170F4C4E" w14:textId="77777777" w:rsidR="00375D2B" w:rsidRPr="006932B9" w:rsidRDefault="00375D2B" w:rsidP="00375D2B">
            <w:pPr>
              <w:pStyle w:val="Heading1"/>
              <w:jc w:val="right"/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</w:pPr>
            <w:r w:rsidRPr="006932B9"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  <w:t xml:space="preserve">ΔΕΛΤΙΟ ΤΥΠΟΥ </w:t>
            </w:r>
          </w:p>
          <w:p w14:paraId="40EF07D4" w14:textId="19581A34" w:rsidR="00C711D6" w:rsidRPr="0068536A" w:rsidRDefault="00375D2B" w:rsidP="00B60149">
            <w:pPr>
              <w:pStyle w:val="Heading1"/>
              <w:ind w:firstLine="0"/>
              <w:jc w:val="right"/>
              <w:rPr>
                <w:i w:val="0"/>
                <w:noProof/>
                <w:szCs w:val="22"/>
                <w:u w:val="none"/>
                <w:lang w:val="en-US" w:eastAsia="en-GB"/>
              </w:rPr>
            </w:pPr>
            <w:r w:rsidRPr="006932B9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Αθήνα, </w:t>
            </w:r>
            <w:r w:rsidR="00F54117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</w:t>
            </w:r>
            <w:r w:rsidR="00106E0C">
              <w:rPr>
                <w:i w:val="0"/>
                <w:noProof/>
                <w:color w:val="00205B"/>
                <w:szCs w:val="22"/>
                <w:u w:val="none"/>
                <w:lang w:val="en-US" w:eastAsia="en-GB"/>
              </w:rPr>
              <w:t xml:space="preserve"> </w:t>
            </w:r>
            <w:r w:rsidR="0012758D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Μ</w:t>
            </w:r>
            <w:r w:rsidR="00B60149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αΐου </w:t>
            </w:r>
            <w:r w:rsidRPr="006932B9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202</w:t>
            </w:r>
            <w:r w:rsidR="00146287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3</w:t>
            </w:r>
          </w:p>
        </w:tc>
      </w:tr>
    </w:tbl>
    <w:p w14:paraId="47F6397D" w14:textId="77777777" w:rsidR="00C711D6" w:rsidRPr="0068536A" w:rsidRDefault="00C711D6" w:rsidP="00C711D6">
      <w:pPr>
        <w:pStyle w:val="Heading1"/>
        <w:ind w:firstLine="0"/>
        <w:jc w:val="center"/>
        <w:rPr>
          <w:i w:val="0"/>
          <w:noProof/>
          <w:szCs w:val="22"/>
          <w:u w:val="none"/>
          <w:lang w:eastAsia="en-GB"/>
        </w:rPr>
      </w:pPr>
    </w:p>
    <w:p w14:paraId="4C08405C" w14:textId="77777777" w:rsidR="00FF5D14" w:rsidRPr="0068536A" w:rsidRDefault="00FF5D14" w:rsidP="00FF5D14">
      <w:pPr>
        <w:rPr>
          <w:lang w:val="el-GR" w:eastAsia="en-GB"/>
        </w:rPr>
      </w:pPr>
    </w:p>
    <w:p w14:paraId="7399DBFD" w14:textId="779103D0" w:rsidR="00906441" w:rsidRPr="006932B9" w:rsidRDefault="00106E0C" w:rsidP="00F25B96">
      <w:pPr>
        <w:pStyle w:val="Heading6"/>
        <w:tabs>
          <w:tab w:val="left" w:pos="4680"/>
          <w:tab w:val="left" w:pos="8100"/>
        </w:tabs>
        <w:spacing w:after="120" w:line="276" w:lineRule="auto"/>
        <w:ind w:left="0" w:right="-2"/>
        <w:rPr>
          <w:b/>
          <w:i w:val="0"/>
          <w:color w:val="00205B"/>
          <w:sz w:val="32"/>
          <w:szCs w:val="32"/>
        </w:rPr>
      </w:pPr>
      <w:r w:rsidRPr="00106E0C">
        <w:rPr>
          <w:b/>
          <w:i w:val="0"/>
          <w:color w:val="00205B"/>
          <w:sz w:val="32"/>
          <w:szCs w:val="32"/>
        </w:rPr>
        <w:t xml:space="preserve">Τραπεζική χρηματοδότηση και </w:t>
      </w:r>
      <w:r w:rsidRPr="002433E2">
        <w:rPr>
          <w:b/>
          <w:i w:val="0"/>
          <w:color w:val="002060"/>
          <w:sz w:val="32"/>
          <w:szCs w:val="32"/>
        </w:rPr>
        <w:t>καταθέσεις</w:t>
      </w:r>
      <w:r w:rsidRPr="00106E0C">
        <w:rPr>
          <w:b/>
          <w:i w:val="0"/>
          <w:color w:val="00205B"/>
          <w:sz w:val="32"/>
          <w:szCs w:val="32"/>
        </w:rPr>
        <w:t xml:space="preserve"> – </w:t>
      </w:r>
      <w:r w:rsidR="00B60149">
        <w:rPr>
          <w:b/>
          <w:i w:val="0"/>
          <w:color w:val="00205B"/>
          <w:sz w:val="32"/>
          <w:szCs w:val="32"/>
        </w:rPr>
        <w:t>Μάρτιο</w:t>
      </w:r>
      <w:r w:rsidR="00304A8D">
        <w:rPr>
          <w:b/>
          <w:i w:val="0"/>
          <w:color w:val="00205B"/>
          <w:sz w:val="32"/>
          <w:szCs w:val="32"/>
        </w:rPr>
        <w:t>ς</w:t>
      </w:r>
      <w:r w:rsidRPr="00106E0C">
        <w:rPr>
          <w:b/>
          <w:i w:val="0"/>
          <w:color w:val="00205B"/>
          <w:sz w:val="32"/>
          <w:szCs w:val="32"/>
        </w:rPr>
        <w:t xml:space="preserve"> </w:t>
      </w:r>
      <w:r w:rsidR="00AC74AC">
        <w:rPr>
          <w:b/>
          <w:i w:val="0"/>
          <w:color w:val="00205B"/>
          <w:sz w:val="32"/>
          <w:szCs w:val="32"/>
        </w:rPr>
        <w:t>2023</w:t>
      </w:r>
      <w:r w:rsidR="0068536A">
        <w:rPr>
          <w:b/>
          <w:i w:val="0"/>
          <w:color w:val="00205B"/>
          <w:sz w:val="32"/>
          <w:szCs w:val="32"/>
        </w:rPr>
        <w:t xml:space="preserve"> </w:t>
      </w:r>
    </w:p>
    <w:p w14:paraId="70997F8E" w14:textId="77777777" w:rsidR="00F957D8" w:rsidRDefault="00F957D8">
      <w:pPr>
        <w:rPr>
          <w:lang w:val="el-GR"/>
        </w:rPr>
      </w:pPr>
    </w:p>
    <w:p w14:paraId="36D74A50" w14:textId="6798EF3B" w:rsidR="00D923B5" w:rsidRDefault="00106E0C" w:rsidP="002D60F7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 w:rsidRPr="002D60F7">
        <w:rPr>
          <w:sz w:val="22"/>
          <w:szCs w:val="22"/>
          <w:lang w:val="el-GR"/>
        </w:rPr>
        <w:t xml:space="preserve">Ο ετήσιος ρυθμός μεταβολής της συνολικής χρηματοδότησης της εγχώριας οικονομίας </w:t>
      </w:r>
      <w:r w:rsidR="00F33D1B">
        <w:rPr>
          <w:sz w:val="22"/>
          <w:szCs w:val="22"/>
          <w:lang w:val="el-GR"/>
        </w:rPr>
        <w:t xml:space="preserve">διαμορφώθηκε </w:t>
      </w:r>
      <w:r w:rsidRPr="002D60F7">
        <w:rPr>
          <w:sz w:val="22"/>
          <w:szCs w:val="22"/>
          <w:lang w:val="el-GR"/>
        </w:rPr>
        <w:t xml:space="preserve">σε </w:t>
      </w:r>
      <w:r w:rsidR="0012758D">
        <w:rPr>
          <w:sz w:val="22"/>
          <w:szCs w:val="22"/>
          <w:lang w:val="el-GR"/>
        </w:rPr>
        <w:t>5,</w:t>
      </w:r>
      <w:r w:rsidR="00402C52">
        <w:rPr>
          <w:sz w:val="22"/>
          <w:szCs w:val="22"/>
          <w:lang w:val="el-GR"/>
        </w:rPr>
        <w:t>2</w:t>
      </w:r>
      <w:r w:rsidRPr="002D60F7">
        <w:rPr>
          <w:sz w:val="22"/>
          <w:szCs w:val="22"/>
          <w:lang w:val="el-GR"/>
        </w:rPr>
        <w:t>%</w:t>
      </w:r>
      <w:r w:rsidR="008F039F" w:rsidRPr="0007450D">
        <w:rPr>
          <w:sz w:val="22"/>
          <w:szCs w:val="22"/>
          <w:lang w:val="el-GR"/>
        </w:rPr>
        <w:t>,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7E22C0">
        <w:rPr>
          <w:sz w:val="22"/>
          <w:szCs w:val="22"/>
          <w:lang w:val="el-GR"/>
        </w:rPr>
        <w:t xml:space="preserve"> του </w:t>
      </w:r>
      <w:r w:rsidR="00AC74AC">
        <w:rPr>
          <w:sz w:val="22"/>
          <w:szCs w:val="22"/>
          <w:lang w:val="el-GR"/>
        </w:rPr>
        <w:t>2023</w:t>
      </w:r>
      <w:r w:rsidR="008F039F" w:rsidRPr="0007450D">
        <w:rPr>
          <w:sz w:val="22"/>
          <w:szCs w:val="22"/>
          <w:lang w:val="el-GR"/>
        </w:rPr>
        <w:t>,</w:t>
      </w:r>
      <w:r w:rsidR="00096E66">
        <w:rPr>
          <w:sz w:val="22"/>
          <w:szCs w:val="22"/>
          <w:lang w:val="el-GR"/>
        </w:rPr>
        <w:t xml:space="preserve"> από </w:t>
      </w:r>
      <w:r w:rsidR="00B60149">
        <w:rPr>
          <w:sz w:val="22"/>
          <w:szCs w:val="22"/>
          <w:lang w:val="el-GR"/>
        </w:rPr>
        <w:t>5,5</w:t>
      </w:r>
      <w:r w:rsidR="00096E66">
        <w:rPr>
          <w:sz w:val="22"/>
          <w:szCs w:val="22"/>
          <w:lang w:val="el-GR"/>
        </w:rPr>
        <w:t>% τον προηγούμενο μήνα.</w:t>
      </w:r>
      <w:r w:rsidR="00D923B5" w:rsidRPr="00D923B5">
        <w:rPr>
          <w:sz w:val="22"/>
          <w:szCs w:val="22"/>
          <w:lang w:val="el-GR"/>
        </w:rPr>
        <w:t xml:space="preserve"> </w:t>
      </w:r>
    </w:p>
    <w:p w14:paraId="65C619A8" w14:textId="515BB3A0" w:rsidR="001B20E4" w:rsidRDefault="00DF5688" w:rsidP="009B06C1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 w:rsidRPr="00A4388D">
        <w:rPr>
          <w:sz w:val="22"/>
          <w:szCs w:val="22"/>
          <w:lang w:val="el-GR"/>
        </w:rPr>
        <w:t xml:space="preserve">Ο ετήσιος ρυθμός μεταβολής του συνόλου των καταθέσεων </w:t>
      </w:r>
      <w:r w:rsidR="00985B26">
        <w:rPr>
          <w:sz w:val="22"/>
          <w:szCs w:val="22"/>
          <w:lang w:val="el-GR"/>
        </w:rPr>
        <w:t>διαμορφώθηκε</w:t>
      </w:r>
      <w:r w:rsidR="0080227F">
        <w:rPr>
          <w:sz w:val="22"/>
          <w:szCs w:val="22"/>
          <w:lang w:val="el-GR"/>
        </w:rPr>
        <w:t xml:space="preserve"> σ</w:t>
      </w:r>
      <w:r w:rsidR="00AF3C8B">
        <w:rPr>
          <w:sz w:val="22"/>
          <w:szCs w:val="22"/>
          <w:lang w:val="el-GR"/>
        </w:rPr>
        <w:t>ε</w:t>
      </w:r>
      <w:r w:rsidR="0080227F">
        <w:rPr>
          <w:sz w:val="22"/>
          <w:szCs w:val="22"/>
          <w:lang w:val="el-GR"/>
        </w:rPr>
        <w:t xml:space="preserve"> </w:t>
      </w:r>
      <w:r w:rsidR="00B60149">
        <w:rPr>
          <w:sz w:val="22"/>
          <w:szCs w:val="22"/>
          <w:lang w:val="el-GR"/>
        </w:rPr>
        <w:t>4,</w:t>
      </w:r>
      <w:r w:rsidR="00402C52">
        <w:rPr>
          <w:sz w:val="22"/>
          <w:szCs w:val="22"/>
          <w:lang w:val="el-GR"/>
        </w:rPr>
        <w:t>4</w:t>
      </w:r>
      <w:r w:rsidRPr="00F15692">
        <w:rPr>
          <w:sz w:val="22"/>
          <w:szCs w:val="22"/>
          <w:lang w:val="el-GR"/>
        </w:rPr>
        <w:t>%</w:t>
      </w:r>
      <w:r w:rsidR="00985B26">
        <w:rPr>
          <w:sz w:val="22"/>
          <w:szCs w:val="22"/>
          <w:lang w:val="el-GR"/>
        </w:rPr>
        <w:t xml:space="preserve"> </w:t>
      </w:r>
      <w:r w:rsidR="00C2707D">
        <w:rPr>
          <w:sz w:val="22"/>
          <w:szCs w:val="22"/>
          <w:lang w:val="el-GR"/>
        </w:rPr>
        <w:t xml:space="preserve">από </w:t>
      </w:r>
      <w:r w:rsidR="00B60149">
        <w:rPr>
          <w:sz w:val="22"/>
          <w:szCs w:val="22"/>
          <w:lang w:val="el-GR"/>
        </w:rPr>
        <w:t>2,</w:t>
      </w:r>
      <w:r w:rsidR="00C61B21" w:rsidRPr="00FC6223">
        <w:rPr>
          <w:sz w:val="22"/>
          <w:szCs w:val="22"/>
          <w:lang w:val="el-GR"/>
        </w:rPr>
        <w:t>4</w:t>
      </w:r>
      <w:r w:rsidR="00C2707D">
        <w:rPr>
          <w:sz w:val="22"/>
          <w:szCs w:val="22"/>
          <w:lang w:val="el-GR"/>
        </w:rPr>
        <w:t xml:space="preserve">% τον </w:t>
      </w:r>
      <w:r w:rsidR="001D4281" w:rsidRPr="002D60F7">
        <w:rPr>
          <w:sz w:val="22"/>
          <w:szCs w:val="22"/>
          <w:lang w:val="el-GR"/>
        </w:rPr>
        <w:t>προηγούμενο μήνα</w:t>
      </w:r>
      <w:r w:rsidR="001D4281">
        <w:rPr>
          <w:sz w:val="22"/>
          <w:szCs w:val="22"/>
          <w:lang w:val="el-GR"/>
        </w:rPr>
        <w:t>.</w:t>
      </w:r>
      <w:r w:rsidR="001B20E4" w:rsidRPr="001B20E4">
        <w:rPr>
          <w:sz w:val="22"/>
          <w:szCs w:val="22"/>
          <w:lang w:val="el-GR"/>
        </w:rPr>
        <w:t xml:space="preserve"> </w:t>
      </w:r>
    </w:p>
    <w:p w14:paraId="0D4813A4" w14:textId="79CF6A33" w:rsidR="0098309B" w:rsidRPr="0023141C" w:rsidRDefault="0098309B" w:rsidP="007F7FFD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 w:rsidRPr="002D60F7">
        <w:rPr>
          <w:sz w:val="22"/>
          <w:szCs w:val="22"/>
          <w:lang w:val="en-US"/>
        </w:rPr>
        <w:t>O</w:t>
      </w:r>
      <w:r w:rsidR="00CF18E7" w:rsidRPr="007F7FFD">
        <w:rPr>
          <w:sz w:val="22"/>
          <w:szCs w:val="22"/>
          <w:lang w:val="el-GR"/>
        </w:rPr>
        <w:t>ι καταθέσεις του ιδιωτικού τομέα</w:t>
      </w:r>
      <w:r w:rsidRPr="007F7FFD">
        <w:rPr>
          <w:sz w:val="22"/>
          <w:szCs w:val="22"/>
          <w:lang w:val="el-GR"/>
        </w:rPr>
        <w:t xml:space="preserve"> </w:t>
      </w:r>
      <w:r w:rsidR="00B60149">
        <w:rPr>
          <w:sz w:val="22"/>
          <w:szCs w:val="22"/>
          <w:lang w:val="el-GR"/>
        </w:rPr>
        <w:t xml:space="preserve">αυξήθηκαν </w:t>
      </w:r>
      <w:r w:rsidRPr="007F7FFD">
        <w:rPr>
          <w:sz w:val="22"/>
          <w:szCs w:val="22"/>
          <w:lang w:val="el-GR"/>
        </w:rPr>
        <w:t xml:space="preserve">κατά </w:t>
      </w:r>
      <w:r w:rsidR="00B60149">
        <w:rPr>
          <w:sz w:val="22"/>
          <w:szCs w:val="22"/>
          <w:lang w:val="el-GR"/>
        </w:rPr>
        <w:t>2.318</w:t>
      </w:r>
      <w:r w:rsidR="00475C57">
        <w:rPr>
          <w:sz w:val="22"/>
          <w:szCs w:val="22"/>
          <w:lang w:val="el-GR"/>
        </w:rPr>
        <w:t xml:space="preserve"> </w:t>
      </w:r>
      <w:r w:rsidRPr="007F7FFD">
        <w:rPr>
          <w:sz w:val="22"/>
          <w:szCs w:val="22"/>
          <w:lang w:val="el-GR"/>
        </w:rPr>
        <w:t>εκατ. ευρώ</w:t>
      </w:r>
      <w:r w:rsidR="008F039F" w:rsidRPr="0007450D">
        <w:rPr>
          <w:sz w:val="22"/>
          <w:szCs w:val="22"/>
          <w:lang w:val="el-GR"/>
        </w:rPr>
        <w:t>,</w:t>
      </w:r>
      <w:r w:rsidR="000B7060">
        <w:rPr>
          <w:sz w:val="22"/>
          <w:szCs w:val="22"/>
          <w:lang w:val="el-GR"/>
        </w:rPr>
        <w:t xml:space="preserve"> το </w:t>
      </w:r>
      <w:r w:rsidR="00B60149">
        <w:rPr>
          <w:sz w:val="22"/>
          <w:szCs w:val="22"/>
          <w:lang w:val="el-GR"/>
        </w:rPr>
        <w:t>Μάρτιο</w:t>
      </w:r>
      <w:r w:rsidR="002433E2">
        <w:rPr>
          <w:sz w:val="22"/>
          <w:szCs w:val="22"/>
          <w:lang w:val="el-GR"/>
        </w:rPr>
        <w:t xml:space="preserve"> </w:t>
      </w:r>
      <w:r w:rsidRPr="008545D4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2023</w:t>
      </w:r>
      <w:r w:rsidR="007F0416" w:rsidRPr="0015591B">
        <w:rPr>
          <w:sz w:val="22"/>
          <w:szCs w:val="22"/>
          <w:lang w:val="el-GR"/>
        </w:rPr>
        <w:t>,</w:t>
      </w:r>
      <w:r w:rsidR="00A63848" w:rsidRPr="00A63848">
        <w:rPr>
          <w:sz w:val="22"/>
          <w:szCs w:val="22"/>
          <w:lang w:val="el-GR"/>
        </w:rPr>
        <w:t xml:space="preserve"> </w:t>
      </w:r>
      <w:r w:rsidR="00CF18E7" w:rsidRPr="008545D4">
        <w:rPr>
          <w:sz w:val="22"/>
          <w:szCs w:val="22"/>
          <w:lang w:val="el-GR"/>
        </w:rPr>
        <w:t xml:space="preserve">έναντι </w:t>
      </w:r>
      <w:r w:rsidR="0012758D">
        <w:rPr>
          <w:sz w:val="22"/>
          <w:szCs w:val="22"/>
          <w:lang w:val="el-GR"/>
        </w:rPr>
        <w:t xml:space="preserve">μείωσης </w:t>
      </w:r>
      <w:r w:rsidR="00CF18E7" w:rsidRPr="008545D4">
        <w:rPr>
          <w:sz w:val="22"/>
          <w:szCs w:val="22"/>
          <w:lang w:val="el-GR"/>
        </w:rPr>
        <w:t xml:space="preserve">κατά </w:t>
      </w:r>
      <w:r w:rsidR="00B60149">
        <w:rPr>
          <w:sz w:val="22"/>
          <w:szCs w:val="22"/>
          <w:lang w:val="el-GR"/>
        </w:rPr>
        <w:t>1.456</w:t>
      </w:r>
      <w:r w:rsidR="00CF18E7" w:rsidRPr="008545D4">
        <w:rPr>
          <w:sz w:val="22"/>
          <w:szCs w:val="22"/>
          <w:lang w:val="el-GR"/>
        </w:rPr>
        <w:t xml:space="preserve"> εκατ. ευρώ τον προηγούμενο μήνα</w:t>
      </w:r>
      <w:r w:rsidRPr="0023141C">
        <w:rPr>
          <w:sz w:val="22"/>
          <w:szCs w:val="22"/>
          <w:lang w:val="el-GR"/>
        </w:rPr>
        <w:t xml:space="preserve">. </w:t>
      </w:r>
    </w:p>
    <w:p w14:paraId="32FFEBEC" w14:textId="77777777" w:rsidR="00C62C53" w:rsidRPr="00C62C53" w:rsidRDefault="00C62C53" w:rsidP="00106E0C">
      <w:pPr>
        <w:spacing w:line="360" w:lineRule="auto"/>
        <w:jc w:val="both"/>
        <w:rPr>
          <w:iCs/>
          <w:color w:val="1F3864"/>
          <w:sz w:val="22"/>
          <w:szCs w:val="22"/>
          <w:lang w:val="el-GR"/>
        </w:rPr>
      </w:pPr>
      <w:bookmarkStart w:id="0" w:name="_GoBack"/>
      <w:bookmarkEnd w:id="0"/>
    </w:p>
    <w:p w14:paraId="3739F371" w14:textId="77777777" w:rsidR="00106E0C" w:rsidRPr="002433E2" w:rsidRDefault="00106E0C" w:rsidP="00106E0C">
      <w:pPr>
        <w:numPr>
          <w:ilvl w:val="0"/>
          <w:numId w:val="5"/>
        </w:numPr>
        <w:spacing w:line="360" w:lineRule="auto"/>
        <w:jc w:val="both"/>
        <w:rPr>
          <w:b/>
          <w:color w:val="1F3864"/>
          <w:szCs w:val="24"/>
          <w:lang w:val="el-GR"/>
        </w:rPr>
      </w:pPr>
      <w:r w:rsidRPr="002433E2">
        <w:rPr>
          <w:b/>
          <w:color w:val="1F3864"/>
          <w:szCs w:val="24"/>
          <w:lang w:val="el-GR"/>
        </w:rPr>
        <w:t xml:space="preserve">Χρηματοδότηση της εγχώριας οικονομίας </w:t>
      </w:r>
    </w:p>
    <w:p w14:paraId="7D0F9481" w14:textId="77777777" w:rsidR="00CF1E09" w:rsidRPr="003C683E" w:rsidRDefault="00CF1E09" w:rsidP="00DB1C5D">
      <w:pPr>
        <w:spacing w:line="360" w:lineRule="auto"/>
        <w:jc w:val="both"/>
        <w:rPr>
          <w:sz w:val="16"/>
          <w:szCs w:val="16"/>
          <w:lang w:val="en-US"/>
        </w:rPr>
      </w:pPr>
    </w:p>
    <w:p w14:paraId="7AD0AD40" w14:textId="2295C2E9" w:rsidR="0034353A" w:rsidRPr="00DB1C5D" w:rsidRDefault="0034353A" w:rsidP="00DB1C5D">
      <w:pPr>
        <w:spacing w:line="360" w:lineRule="auto"/>
        <w:jc w:val="both"/>
        <w:rPr>
          <w:sz w:val="22"/>
          <w:szCs w:val="22"/>
          <w:lang w:val="el-GR"/>
        </w:rPr>
      </w:pPr>
      <w:r w:rsidRPr="00DB1C5D">
        <w:rPr>
          <w:sz w:val="22"/>
          <w:szCs w:val="22"/>
          <w:lang w:val="en-US"/>
        </w:rPr>
        <w:t>H</w:t>
      </w:r>
      <w:r w:rsidRPr="00DB1C5D">
        <w:rPr>
          <w:sz w:val="22"/>
          <w:szCs w:val="22"/>
          <w:lang w:val="el-GR"/>
        </w:rPr>
        <w:t xml:space="preserve"> μηνιαία καθαρή ροή της συνολικής χρηματοδότησης ήταν </w:t>
      </w:r>
      <w:r w:rsidR="00BF1C1D">
        <w:rPr>
          <w:sz w:val="22"/>
          <w:szCs w:val="22"/>
          <w:lang w:val="el-GR"/>
        </w:rPr>
        <w:t xml:space="preserve">θετική </w:t>
      </w:r>
      <w:r w:rsidRPr="00DB1C5D">
        <w:rPr>
          <w:sz w:val="22"/>
          <w:szCs w:val="22"/>
          <w:lang w:val="el-GR"/>
        </w:rPr>
        <w:t xml:space="preserve">κατά </w:t>
      </w:r>
      <w:r w:rsidR="00BF1C1D">
        <w:rPr>
          <w:sz w:val="22"/>
          <w:szCs w:val="22"/>
          <w:lang w:val="el-GR"/>
        </w:rPr>
        <w:t>1.</w:t>
      </w:r>
      <w:r w:rsidR="00402C52">
        <w:rPr>
          <w:sz w:val="22"/>
          <w:szCs w:val="22"/>
          <w:lang w:val="el-GR"/>
        </w:rPr>
        <w:t>619</w:t>
      </w:r>
      <w:r w:rsidRPr="00DB1C5D">
        <w:rPr>
          <w:sz w:val="22"/>
          <w:szCs w:val="22"/>
          <w:lang w:val="el-GR"/>
        </w:rPr>
        <w:t xml:space="preserve"> εκατ. ευρώ</w:t>
      </w:r>
      <w:r w:rsidR="000E4E64" w:rsidRPr="00422143">
        <w:rPr>
          <w:sz w:val="22"/>
          <w:szCs w:val="22"/>
          <w:lang w:val="el-GR"/>
        </w:rPr>
        <w:t>,</w:t>
      </w:r>
      <w:r w:rsidR="00544B51">
        <w:rPr>
          <w:sz w:val="22"/>
          <w:szCs w:val="22"/>
          <w:lang w:val="el-GR"/>
        </w:rPr>
        <w:t xml:space="preserve"> 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CF1E09" w:rsidRPr="00CF1E09">
        <w:rPr>
          <w:sz w:val="22"/>
          <w:szCs w:val="22"/>
          <w:lang w:val="el-GR"/>
        </w:rPr>
        <w:t xml:space="preserve"> του </w:t>
      </w:r>
      <w:r w:rsidR="00AC74AC">
        <w:rPr>
          <w:sz w:val="22"/>
          <w:szCs w:val="22"/>
          <w:lang w:val="el-GR"/>
        </w:rPr>
        <w:t>2023</w:t>
      </w:r>
      <w:r w:rsidRPr="00DB1C5D">
        <w:rPr>
          <w:sz w:val="22"/>
          <w:szCs w:val="22"/>
          <w:lang w:val="el-GR"/>
        </w:rPr>
        <w:t xml:space="preserve">, έναντι </w:t>
      </w:r>
      <w:r w:rsidR="0012758D">
        <w:rPr>
          <w:sz w:val="22"/>
          <w:szCs w:val="22"/>
          <w:lang w:val="el-GR"/>
        </w:rPr>
        <w:t xml:space="preserve">αρνητικής </w:t>
      </w:r>
      <w:r w:rsidRPr="00DB1C5D">
        <w:rPr>
          <w:sz w:val="22"/>
          <w:szCs w:val="22"/>
          <w:lang w:val="el-GR"/>
        </w:rPr>
        <w:t xml:space="preserve">καθαρής ροής </w:t>
      </w:r>
      <w:r w:rsidR="00BF1C1D">
        <w:rPr>
          <w:sz w:val="22"/>
          <w:szCs w:val="22"/>
          <w:lang w:val="el-GR"/>
        </w:rPr>
        <w:t>580</w:t>
      </w:r>
      <w:r w:rsidR="00880081">
        <w:rPr>
          <w:sz w:val="22"/>
          <w:szCs w:val="22"/>
          <w:lang w:val="el-GR"/>
        </w:rPr>
        <w:t xml:space="preserve"> </w:t>
      </w:r>
      <w:r w:rsidRPr="00DB1C5D">
        <w:rPr>
          <w:sz w:val="22"/>
          <w:szCs w:val="22"/>
          <w:lang w:val="el-GR"/>
        </w:rPr>
        <w:t>εκατ. ευρώ τον προηγούμενο μήνα.</w:t>
      </w:r>
    </w:p>
    <w:p w14:paraId="453D1788" w14:textId="77777777" w:rsidR="00106E0C" w:rsidRPr="003C683E" w:rsidRDefault="00106E0C" w:rsidP="00106E0C">
      <w:pPr>
        <w:spacing w:line="360" w:lineRule="auto"/>
        <w:jc w:val="both"/>
        <w:rPr>
          <w:b/>
          <w:sz w:val="16"/>
          <w:szCs w:val="16"/>
          <w:lang w:val="el-GR"/>
        </w:rPr>
      </w:pPr>
    </w:p>
    <w:p w14:paraId="53BCA24F" w14:textId="77777777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Ι.1 Χρη</w:t>
      </w:r>
      <w:r w:rsidR="00CF18E7" w:rsidRPr="002433E2">
        <w:rPr>
          <w:b/>
          <w:sz w:val="22"/>
          <w:szCs w:val="22"/>
          <w:lang w:val="el-GR"/>
        </w:rPr>
        <w:t>ματοδότηση της γενικής κυβέρνηση</w:t>
      </w:r>
      <w:r w:rsidR="006F19DD" w:rsidRPr="002433E2">
        <w:rPr>
          <w:b/>
          <w:sz w:val="22"/>
          <w:szCs w:val="22"/>
          <w:lang w:val="el-GR"/>
        </w:rPr>
        <w:t>ς</w:t>
      </w:r>
      <w:r w:rsidR="00CF18E7" w:rsidRPr="002433E2">
        <w:rPr>
          <w:b/>
          <w:sz w:val="22"/>
          <w:szCs w:val="22"/>
          <w:lang w:val="el-GR"/>
        </w:rPr>
        <w:t xml:space="preserve"> </w:t>
      </w:r>
    </w:p>
    <w:p w14:paraId="6FF78564" w14:textId="524E124C" w:rsidR="0059539D" w:rsidRDefault="002433E2" w:rsidP="00106E0C">
      <w:pPr>
        <w:spacing w:line="360" w:lineRule="auto"/>
        <w:jc w:val="both"/>
        <w:rPr>
          <w:sz w:val="22"/>
          <w:szCs w:val="22"/>
          <w:lang w:val="el-GR"/>
        </w:rPr>
      </w:pPr>
      <w:r w:rsidRPr="006E0053">
        <w:rPr>
          <w:sz w:val="22"/>
          <w:szCs w:val="22"/>
          <w:lang w:val="el-GR"/>
        </w:rPr>
        <w:t>Η μηνιαία καθαρή ροή της χρηματοδότησ</w:t>
      </w:r>
      <w:r>
        <w:rPr>
          <w:sz w:val="22"/>
          <w:szCs w:val="22"/>
          <w:lang w:val="el-GR"/>
        </w:rPr>
        <w:t>ης προς τη γενική κυβέρνηση,</w:t>
      </w:r>
      <w:r w:rsidR="00544B51">
        <w:rPr>
          <w:sz w:val="22"/>
          <w:szCs w:val="22"/>
          <w:lang w:val="el-GR"/>
        </w:rPr>
        <w:t xml:space="preserve"> 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2023</w:t>
      </w:r>
      <w:r w:rsidRPr="006E0053">
        <w:rPr>
          <w:sz w:val="22"/>
          <w:szCs w:val="22"/>
          <w:lang w:val="el-GR"/>
        </w:rPr>
        <w:t xml:space="preserve">, ήταν </w:t>
      </w:r>
      <w:r w:rsidR="00BF1C1D">
        <w:rPr>
          <w:sz w:val="22"/>
          <w:szCs w:val="22"/>
          <w:lang w:val="el-GR"/>
        </w:rPr>
        <w:t xml:space="preserve">θετική </w:t>
      </w:r>
      <w:r w:rsidRPr="006E0053">
        <w:rPr>
          <w:sz w:val="22"/>
          <w:szCs w:val="22"/>
          <w:lang w:val="el-GR"/>
        </w:rPr>
        <w:t xml:space="preserve">κατά </w:t>
      </w:r>
      <w:r w:rsidR="00402C52">
        <w:rPr>
          <w:sz w:val="22"/>
          <w:szCs w:val="22"/>
          <w:lang w:val="el-GR"/>
        </w:rPr>
        <w:t>447</w:t>
      </w:r>
      <w:r w:rsidR="00005EF8"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 xml:space="preserve">εκατ. ευρώ, έναντι </w:t>
      </w:r>
      <w:r w:rsidR="0012758D">
        <w:rPr>
          <w:sz w:val="22"/>
          <w:szCs w:val="22"/>
          <w:lang w:val="el-GR"/>
        </w:rPr>
        <w:t xml:space="preserve">αρνητικής </w:t>
      </w:r>
      <w:r w:rsidRPr="006E0053">
        <w:rPr>
          <w:sz w:val="22"/>
          <w:szCs w:val="22"/>
          <w:lang w:val="el-GR"/>
        </w:rPr>
        <w:t xml:space="preserve">καθαρής ροής </w:t>
      </w:r>
      <w:r w:rsidR="00BF1C1D">
        <w:rPr>
          <w:sz w:val="22"/>
          <w:szCs w:val="22"/>
          <w:lang w:val="el-GR"/>
        </w:rPr>
        <w:t>607</w:t>
      </w:r>
      <w:r w:rsidR="00880081"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>εκατ. ευρώ τον προηγούμενο μήνα. Ο ετήσιος ρυθμός μεταβολής της χρηματοδότησης της γενι</w:t>
      </w:r>
      <w:r>
        <w:rPr>
          <w:sz w:val="22"/>
          <w:szCs w:val="22"/>
          <w:lang w:val="el-GR"/>
        </w:rPr>
        <w:t xml:space="preserve">κής κυβέρνησης </w:t>
      </w:r>
      <w:r w:rsidR="00AC74AC">
        <w:rPr>
          <w:sz w:val="22"/>
          <w:szCs w:val="22"/>
          <w:lang w:val="el-GR"/>
        </w:rPr>
        <w:t xml:space="preserve">μειώθηκε </w:t>
      </w:r>
      <w:r w:rsidR="000A7063">
        <w:rPr>
          <w:sz w:val="22"/>
          <w:szCs w:val="22"/>
          <w:lang w:val="el-GR"/>
        </w:rPr>
        <w:t xml:space="preserve">σε </w:t>
      </w:r>
      <w:r w:rsidR="00BF1C1D">
        <w:rPr>
          <w:sz w:val="22"/>
          <w:szCs w:val="22"/>
          <w:lang w:val="el-GR"/>
        </w:rPr>
        <w:t>5</w:t>
      </w:r>
      <w:r w:rsidR="00402C52">
        <w:rPr>
          <w:sz w:val="22"/>
          <w:szCs w:val="22"/>
          <w:lang w:val="el-GR"/>
        </w:rPr>
        <w:t>,3</w:t>
      </w:r>
      <w:r w:rsidR="000A7063">
        <w:rPr>
          <w:sz w:val="22"/>
          <w:szCs w:val="22"/>
          <w:lang w:val="el-GR"/>
        </w:rPr>
        <w:t xml:space="preserve">% από </w:t>
      </w:r>
      <w:r w:rsidR="00BF1C1D">
        <w:rPr>
          <w:sz w:val="22"/>
          <w:szCs w:val="22"/>
          <w:lang w:val="el-GR"/>
        </w:rPr>
        <w:t>6,6%</w:t>
      </w:r>
      <w:r w:rsidR="00E35805">
        <w:rPr>
          <w:sz w:val="22"/>
          <w:szCs w:val="22"/>
          <w:lang w:val="el-GR"/>
        </w:rPr>
        <w:t xml:space="preserve"> </w:t>
      </w:r>
      <w:r w:rsidR="000A7063">
        <w:rPr>
          <w:sz w:val="22"/>
          <w:szCs w:val="22"/>
          <w:lang w:val="el-GR"/>
        </w:rPr>
        <w:t xml:space="preserve">τον </w:t>
      </w:r>
      <w:r w:rsidRPr="006E0053">
        <w:rPr>
          <w:sz w:val="22"/>
          <w:szCs w:val="22"/>
          <w:lang w:val="el-GR"/>
        </w:rPr>
        <w:t xml:space="preserve">προηγούμενο μήνα. </w:t>
      </w:r>
    </w:p>
    <w:p w14:paraId="497C1C8E" w14:textId="77777777" w:rsidR="00AE7030" w:rsidRPr="003C683E" w:rsidRDefault="00AE7030" w:rsidP="00106E0C">
      <w:pPr>
        <w:spacing w:line="360" w:lineRule="auto"/>
        <w:jc w:val="both"/>
        <w:rPr>
          <w:b/>
          <w:sz w:val="16"/>
          <w:szCs w:val="16"/>
          <w:lang w:val="el-GR"/>
        </w:rPr>
      </w:pPr>
    </w:p>
    <w:p w14:paraId="2B28D37A" w14:textId="42622040" w:rsidR="00106E0C" w:rsidRPr="0059539D" w:rsidRDefault="00106E0C" w:rsidP="00106E0C">
      <w:pPr>
        <w:spacing w:line="360" w:lineRule="auto"/>
        <w:jc w:val="both"/>
        <w:rPr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Ι.2 Χρηματοδότηση του ιδιωτικού τομέα</w:t>
      </w:r>
    </w:p>
    <w:p w14:paraId="5845C39D" w14:textId="13DDB306" w:rsidR="002433E2" w:rsidRDefault="00345924" w:rsidP="002433E2">
      <w:pPr>
        <w:spacing w:line="360" w:lineRule="auto"/>
        <w:jc w:val="both"/>
        <w:rPr>
          <w:iCs/>
          <w:sz w:val="22"/>
          <w:szCs w:val="22"/>
          <w:lang w:val="el-GR"/>
        </w:rPr>
      </w:pPr>
      <w:r>
        <w:rPr>
          <w:sz w:val="22"/>
          <w:szCs w:val="22"/>
          <w:lang w:val="el-GR"/>
        </w:rPr>
        <w:lastRenderedPageBreak/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2433E2" w:rsidRPr="006E0053">
        <w:rPr>
          <w:sz w:val="22"/>
          <w:szCs w:val="22"/>
          <w:lang w:val="el-GR"/>
        </w:rPr>
        <w:t xml:space="preserve"> του </w:t>
      </w:r>
      <w:r w:rsidR="00AC74AC">
        <w:rPr>
          <w:sz w:val="22"/>
          <w:szCs w:val="22"/>
          <w:lang w:val="el-GR"/>
        </w:rPr>
        <w:t>2023</w:t>
      </w:r>
      <w:r w:rsidR="002433E2" w:rsidRPr="006E0053">
        <w:rPr>
          <w:iCs/>
          <w:sz w:val="22"/>
          <w:szCs w:val="22"/>
          <w:lang w:val="el-GR"/>
        </w:rPr>
        <w:t xml:space="preserve">, </w:t>
      </w:r>
      <w:r w:rsidR="002433E2" w:rsidRPr="006E0053">
        <w:rPr>
          <w:iCs/>
          <w:sz w:val="22"/>
          <w:szCs w:val="22"/>
          <w:lang w:val="en-US"/>
        </w:rPr>
        <w:t>o</w:t>
      </w:r>
      <w:r w:rsidR="002433E2" w:rsidRPr="006E0053">
        <w:rPr>
          <w:iCs/>
          <w:sz w:val="22"/>
          <w:szCs w:val="22"/>
          <w:lang w:val="el-GR"/>
        </w:rPr>
        <w:t xml:space="preserve"> ετήσιος ρυθμός μεταβολής της συνολικής χρηματοδότησης του ιδιωτικού τομέα </w:t>
      </w:r>
      <w:r w:rsidR="00BF1C1D">
        <w:rPr>
          <w:iCs/>
          <w:sz w:val="22"/>
          <w:szCs w:val="22"/>
          <w:lang w:val="el-GR"/>
        </w:rPr>
        <w:t xml:space="preserve">αυξήθηκε </w:t>
      </w:r>
      <w:r w:rsidR="00555F70">
        <w:rPr>
          <w:iCs/>
          <w:sz w:val="22"/>
          <w:szCs w:val="22"/>
          <w:lang w:val="el-GR"/>
        </w:rPr>
        <w:t>σ</w:t>
      </w:r>
      <w:r w:rsidR="00414C4A">
        <w:rPr>
          <w:iCs/>
          <w:sz w:val="22"/>
          <w:szCs w:val="22"/>
          <w:lang w:val="el-GR"/>
        </w:rPr>
        <w:t>ε</w:t>
      </w:r>
      <w:r w:rsidR="00555F70">
        <w:rPr>
          <w:iCs/>
          <w:sz w:val="22"/>
          <w:szCs w:val="22"/>
          <w:lang w:val="el-GR"/>
        </w:rPr>
        <w:t xml:space="preserve"> </w:t>
      </w:r>
      <w:r w:rsidR="00BF1C1D">
        <w:rPr>
          <w:iCs/>
          <w:sz w:val="22"/>
          <w:szCs w:val="22"/>
          <w:lang w:val="el-GR"/>
        </w:rPr>
        <w:t>5,</w:t>
      </w:r>
      <w:r w:rsidR="00C10963">
        <w:rPr>
          <w:iCs/>
          <w:sz w:val="22"/>
          <w:szCs w:val="22"/>
          <w:lang w:val="el-GR"/>
        </w:rPr>
        <w:t>1</w:t>
      </w:r>
      <w:r w:rsidR="002433E2" w:rsidRPr="006E0053">
        <w:rPr>
          <w:sz w:val="22"/>
          <w:szCs w:val="22"/>
          <w:lang w:val="el-GR"/>
        </w:rPr>
        <w:t>%</w:t>
      </w:r>
      <w:r w:rsidR="00555F70">
        <w:rPr>
          <w:sz w:val="22"/>
          <w:szCs w:val="22"/>
          <w:lang w:val="el-GR"/>
        </w:rPr>
        <w:t xml:space="preserve"> από </w:t>
      </w:r>
      <w:r w:rsidR="00BF1C1D">
        <w:rPr>
          <w:sz w:val="22"/>
          <w:szCs w:val="22"/>
          <w:lang w:val="el-GR"/>
        </w:rPr>
        <w:t>4,8</w:t>
      </w:r>
      <w:r w:rsidR="00555F70">
        <w:rPr>
          <w:sz w:val="22"/>
          <w:szCs w:val="22"/>
          <w:lang w:val="el-GR"/>
        </w:rPr>
        <w:t>% τον προηγούμενο μήνα</w:t>
      </w:r>
      <w:r w:rsidR="002433E2">
        <w:rPr>
          <w:sz w:val="22"/>
          <w:szCs w:val="22"/>
          <w:lang w:val="el-GR"/>
        </w:rPr>
        <w:t>.</w:t>
      </w:r>
      <w:r w:rsidR="002433E2" w:rsidRPr="006E0053">
        <w:rPr>
          <w:iCs/>
          <w:sz w:val="22"/>
          <w:szCs w:val="22"/>
          <w:lang w:val="el-GR"/>
        </w:rPr>
        <w:t xml:space="preserve"> Η μηνιαία καθαρή ροή της συνολικής χρηματοδότησης προς τον ιδιωτικό τομέα ήταν </w:t>
      </w:r>
      <w:r w:rsidR="006E5C10">
        <w:rPr>
          <w:iCs/>
          <w:sz w:val="22"/>
          <w:szCs w:val="22"/>
          <w:lang w:val="el-GR"/>
        </w:rPr>
        <w:t xml:space="preserve">θετική </w:t>
      </w:r>
      <w:r w:rsidR="002433E2">
        <w:rPr>
          <w:iCs/>
          <w:sz w:val="22"/>
          <w:szCs w:val="22"/>
          <w:lang w:val="el-GR"/>
        </w:rPr>
        <w:t xml:space="preserve">κατά </w:t>
      </w:r>
      <w:r w:rsidR="00BF1C1D">
        <w:rPr>
          <w:iCs/>
          <w:sz w:val="22"/>
          <w:szCs w:val="22"/>
          <w:lang w:val="el-GR"/>
        </w:rPr>
        <w:t>1.</w:t>
      </w:r>
      <w:r w:rsidR="00C10963">
        <w:rPr>
          <w:iCs/>
          <w:sz w:val="22"/>
          <w:szCs w:val="22"/>
          <w:lang w:val="el-GR"/>
        </w:rPr>
        <w:t>172</w:t>
      </w:r>
      <w:r w:rsidR="00713F9B">
        <w:rPr>
          <w:iCs/>
          <w:sz w:val="22"/>
          <w:szCs w:val="22"/>
          <w:lang w:val="el-GR"/>
        </w:rPr>
        <w:t xml:space="preserve"> </w:t>
      </w:r>
      <w:r w:rsidR="002433E2" w:rsidRPr="006E0053">
        <w:rPr>
          <w:iCs/>
          <w:sz w:val="22"/>
          <w:szCs w:val="22"/>
          <w:lang w:val="el-GR"/>
        </w:rPr>
        <w:t xml:space="preserve">εκατ. ευρώ, έναντι </w:t>
      </w:r>
      <w:r w:rsidR="00BF1C1D">
        <w:rPr>
          <w:iCs/>
          <w:sz w:val="22"/>
          <w:szCs w:val="22"/>
          <w:lang w:val="el-GR"/>
        </w:rPr>
        <w:t xml:space="preserve">θετικής </w:t>
      </w:r>
      <w:r w:rsidR="002433E2" w:rsidRPr="006E0053">
        <w:rPr>
          <w:iCs/>
          <w:sz w:val="22"/>
          <w:szCs w:val="22"/>
          <w:lang w:val="el-GR"/>
        </w:rPr>
        <w:t xml:space="preserve">καθαρής ροής </w:t>
      </w:r>
      <w:r w:rsidR="00BF1C1D">
        <w:rPr>
          <w:iCs/>
          <w:sz w:val="22"/>
          <w:szCs w:val="22"/>
          <w:lang w:val="el-GR"/>
        </w:rPr>
        <w:t>27</w:t>
      </w:r>
      <w:r w:rsidR="00880081">
        <w:rPr>
          <w:iCs/>
          <w:sz w:val="22"/>
          <w:szCs w:val="22"/>
          <w:lang w:val="el-GR"/>
        </w:rPr>
        <w:t xml:space="preserve"> </w:t>
      </w:r>
      <w:r w:rsidR="00651C2F">
        <w:rPr>
          <w:iCs/>
          <w:sz w:val="22"/>
          <w:szCs w:val="22"/>
          <w:lang w:val="el-GR"/>
        </w:rPr>
        <w:t>ε</w:t>
      </w:r>
      <w:r w:rsidR="002433E2" w:rsidRPr="006E0053">
        <w:rPr>
          <w:iCs/>
          <w:sz w:val="22"/>
          <w:szCs w:val="22"/>
          <w:lang w:val="el-GR"/>
        </w:rPr>
        <w:t>κατ. ευρώ τον προηγούμενο</w:t>
      </w:r>
      <w:r w:rsidR="00266000">
        <w:rPr>
          <w:iCs/>
          <w:sz w:val="22"/>
          <w:szCs w:val="22"/>
          <w:lang w:val="el-GR"/>
        </w:rPr>
        <w:t xml:space="preserve"> μήνα</w:t>
      </w:r>
      <w:r w:rsidR="002433E2" w:rsidRPr="006E0053">
        <w:rPr>
          <w:iCs/>
          <w:sz w:val="22"/>
          <w:szCs w:val="22"/>
          <w:lang w:val="el-GR"/>
        </w:rPr>
        <w:t>.</w:t>
      </w:r>
    </w:p>
    <w:p w14:paraId="65CC71CB" w14:textId="1C89408A" w:rsidR="003E5B84" w:rsidRDefault="003E5B84" w:rsidP="002433E2">
      <w:pPr>
        <w:spacing w:line="360" w:lineRule="auto"/>
        <w:jc w:val="both"/>
        <w:rPr>
          <w:iCs/>
          <w:sz w:val="22"/>
          <w:szCs w:val="22"/>
          <w:lang w:val="el-GR"/>
        </w:rPr>
      </w:pPr>
    </w:p>
    <w:p w14:paraId="2C5F2728" w14:textId="6CC0A1E5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Ι.2.1 Χρηματοδότηση των επιχειρήσεων</w:t>
      </w:r>
    </w:p>
    <w:p w14:paraId="596E0265" w14:textId="51524851" w:rsidR="002433E2" w:rsidRPr="006E0053" w:rsidRDefault="002433E2" w:rsidP="002433E2">
      <w:pPr>
        <w:spacing w:line="360" w:lineRule="auto"/>
        <w:jc w:val="both"/>
        <w:rPr>
          <w:iCs/>
          <w:sz w:val="22"/>
          <w:szCs w:val="22"/>
          <w:lang w:val="el-GR"/>
        </w:rPr>
      </w:pPr>
      <w:r w:rsidRPr="006E0053">
        <w:rPr>
          <w:iCs/>
          <w:sz w:val="22"/>
          <w:szCs w:val="22"/>
          <w:lang w:val="el-GR"/>
        </w:rPr>
        <w:t>Η μηνιαία καθαρή ροή της χρηματοδότησης προς τις επιχειρήσεις,</w:t>
      </w:r>
      <w:r w:rsidR="00544B51">
        <w:rPr>
          <w:iCs/>
          <w:sz w:val="22"/>
          <w:szCs w:val="22"/>
          <w:lang w:val="el-GR"/>
        </w:rPr>
        <w:t xml:space="preserve"> </w:t>
      </w:r>
      <w:r w:rsidR="000B7060">
        <w:rPr>
          <w:iCs/>
          <w:sz w:val="22"/>
          <w:szCs w:val="22"/>
          <w:lang w:val="el-GR"/>
        </w:rPr>
        <w:t xml:space="preserve">το </w:t>
      </w:r>
      <w:r w:rsidR="00B60149">
        <w:rPr>
          <w:iCs/>
          <w:sz w:val="22"/>
          <w:szCs w:val="22"/>
          <w:lang w:val="el-GR"/>
        </w:rPr>
        <w:t>Μάρτιο</w:t>
      </w:r>
      <w:r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2023</w:t>
      </w:r>
      <w:r>
        <w:rPr>
          <w:iCs/>
          <w:sz w:val="22"/>
          <w:szCs w:val="22"/>
          <w:lang w:val="el-GR"/>
        </w:rPr>
        <w:t xml:space="preserve">, ήταν </w:t>
      </w:r>
      <w:r w:rsidR="009F42C0">
        <w:rPr>
          <w:iCs/>
          <w:sz w:val="22"/>
          <w:szCs w:val="22"/>
          <w:lang w:val="el-GR"/>
        </w:rPr>
        <w:t xml:space="preserve">θετική </w:t>
      </w:r>
      <w:r>
        <w:rPr>
          <w:iCs/>
          <w:sz w:val="22"/>
          <w:szCs w:val="22"/>
          <w:lang w:val="el-GR"/>
        </w:rPr>
        <w:t>κ</w:t>
      </w:r>
      <w:r w:rsidRPr="006E0053">
        <w:rPr>
          <w:iCs/>
          <w:sz w:val="22"/>
          <w:szCs w:val="22"/>
          <w:lang w:val="el-GR"/>
        </w:rPr>
        <w:t>ατά</w:t>
      </w:r>
      <w:r w:rsidR="00651C2F">
        <w:rPr>
          <w:iCs/>
          <w:sz w:val="22"/>
          <w:szCs w:val="22"/>
          <w:lang w:val="el-GR"/>
        </w:rPr>
        <w:t xml:space="preserve"> </w:t>
      </w:r>
      <w:r w:rsidR="00F85DEE">
        <w:rPr>
          <w:iCs/>
          <w:sz w:val="22"/>
          <w:szCs w:val="22"/>
          <w:lang w:val="el-GR"/>
        </w:rPr>
        <w:t>1.</w:t>
      </w:r>
      <w:r w:rsidR="00C10963">
        <w:rPr>
          <w:iCs/>
          <w:sz w:val="22"/>
          <w:szCs w:val="22"/>
          <w:lang w:val="el-GR"/>
        </w:rPr>
        <w:t>181</w:t>
      </w:r>
      <w:r w:rsidR="00C9228B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 xml:space="preserve">εκατ. ευρώ, έναντι </w:t>
      </w:r>
      <w:r w:rsidR="00F85DEE">
        <w:rPr>
          <w:iCs/>
          <w:sz w:val="22"/>
          <w:szCs w:val="22"/>
          <w:lang w:val="el-GR"/>
        </w:rPr>
        <w:t xml:space="preserve">θετικής </w:t>
      </w:r>
      <w:r w:rsidRPr="006E0053">
        <w:rPr>
          <w:iCs/>
          <w:sz w:val="22"/>
          <w:szCs w:val="22"/>
          <w:lang w:val="el-GR"/>
        </w:rPr>
        <w:t xml:space="preserve">καθαρής ροής </w:t>
      </w:r>
      <w:r w:rsidR="00F85DEE">
        <w:rPr>
          <w:iCs/>
          <w:sz w:val="22"/>
          <w:szCs w:val="22"/>
          <w:lang w:val="el-GR"/>
        </w:rPr>
        <w:t>150</w:t>
      </w:r>
      <w:r w:rsidR="00880081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>εκατ. ευρώ τον προηγούμενο μήνα</w:t>
      </w:r>
      <w:r w:rsidRPr="007B1927">
        <w:rPr>
          <w:iCs/>
          <w:sz w:val="22"/>
          <w:szCs w:val="22"/>
          <w:lang w:val="el-GR"/>
        </w:rPr>
        <w:t>,</w:t>
      </w:r>
      <w:r>
        <w:rPr>
          <w:iCs/>
          <w:sz w:val="22"/>
          <w:szCs w:val="22"/>
          <w:lang w:val="el-GR"/>
        </w:rPr>
        <w:t xml:space="preserve"> ενώ </w:t>
      </w:r>
      <w:r w:rsidRPr="006E0053">
        <w:rPr>
          <w:iCs/>
          <w:sz w:val="22"/>
          <w:szCs w:val="22"/>
          <w:lang w:val="el-GR"/>
        </w:rPr>
        <w:t xml:space="preserve">ο ετήσιος ρυθμός μεταβολής </w:t>
      </w:r>
      <w:r w:rsidR="00F85DEE">
        <w:rPr>
          <w:iCs/>
          <w:sz w:val="22"/>
          <w:szCs w:val="22"/>
          <w:lang w:val="el-GR"/>
        </w:rPr>
        <w:t xml:space="preserve">αυξήθηκε </w:t>
      </w:r>
      <w:r w:rsidR="00F559C3">
        <w:rPr>
          <w:iCs/>
          <w:sz w:val="22"/>
          <w:szCs w:val="22"/>
          <w:lang w:val="el-GR"/>
        </w:rPr>
        <w:t>σ</w:t>
      </w:r>
      <w:r w:rsidR="001A23B0">
        <w:rPr>
          <w:iCs/>
          <w:sz w:val="22"/>
          <w:szCs w:val="22"/>
          <w:lang w:val="el-GR"/>
        </w:rPr>
        <w:t xml:space="preserve">ε </w:t>
      </w:r>
      <w:r w:rsidR="00F85DEE">
        <w:rPr>
          <w:iCs/>
          <w:sz w:val="22"/>
          <w:szCs w:val="22"/>
          <w:lang w:val="el-GR"/>
        </w:rPr>
        <w:t>10,</w:t>
      </w:r>
      <w:r w:rsidR="00C10963">
        <w:rPr>
          <w:iCs/>
          <w:sz w:val="22"/>
          <w:szCs w:val="22"/>
          <w:lang w:val="el-GR"/>
        </w:rPr>
        <w:t>2</w:t>
      </w:r>
      <w:r>
        <w:rPr>
          <w:iCs/>
          <w:sz w:val="22"/>
          <w:szCs w:val="22"/>
          <w:lang w:val="el-GR"/>
        </w:rPr>
        <w:t xml:space="preserve">% από </w:t>
      </w:r>
      <w:r w:rsidR="00F85DEE">
        <w:rPr>
          <w:iCs/>
          <w:sz w:val="22"/>
          <w:szCs w:val="22"/>
          <w:lang w:val="el-GR"/>
        </w:rPr>
        <w:t>9,8</w:t>
      </w:r>
      <w:r w:rsidRPr="00E72759">
        <w:rPr>
          <w:iCs/>
          <w:sz w:val="22"/>
          <w:szCs w:val="22"/>
          <w:lang w:val="el-GR"/>
        </w:rPr>
        <w:t>%</w:t>
      </w:r>
      <w:r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 xml:space="preserve">τον προηγούμενο μήνα. Ειδικότερα, ο ετήσιος ρυθμός μεταβολής της χρηματοδότησης των μη χρηματοπιστωτικών επιχειρήσεων </w:t>
      </w:r>
      <w:r>
        <w:rPr>
          <w:iCs/>
          <w:sz w:val="22"/>
          <w:szCs w:val="22"/>
          <w:lang w:val="el-GR"/>
        </w:rPr>
        <w:t xml:space="preserve">(ΜΧΕ) </w:t>
      </w:r>
      <w:r w:rsidR="00F85DEE">
        <w:rPr>
          <w:iCs/>
          <w:sz w:val="22"/>
          <w:szCs w:val="22"/>
          <w:lang w:val="el-GR"/>
        </w:rPr>
        <w:t xml:space="preserve">αυξήθηκε </w:t>
      </w:r>
      <w:r w:rsidR="008F3A03">
        <w:rPr>
          <w:iCs/>
          <w:sz w:val="22"/>
          <w:szCs w:val="22"/>
          <w:lang w:val="el-GR"/>
        </w:rPr>
        <w:t>σ</w:t>
      </w:r>
      <w:r w:rsidR="00414C4A">
        <w:rPr>
          <w:iCs/>
          <w:sz w:val="22"/>
          <w:szCs w:val="22"/>
          <w:lang w:val="el-GR"/>
        </w:rPr>
        <w:t>ε</w:t>
      </w:r>
      <w:r w:rsidR="006F666D">
        <w:rPr>
          <w:iCs/>
          <w:sz w:val="22"/>
          <w:szCs w:val="22"/>
          <w:lang w:val="el-GR"/>
        </w:rPr>
        <w:t xml:space="preserve"> </w:t>
      </w:r>
      <w:r w:rsidR="00F85DEE">
        <w:rPr>
          <w:iCs/>
          <w:sz w:val="22"/>
          <w:szCs w:val="22"/>
          <w:lang w:val="el-GR"/>
        </w:rPr>
        <w:t>10</w:t>
      </w:r>
      <w:r w:rsidR="009F42C0">
        <w:rPr>
          <w:iCs/>
          <w:sz w:val="22"/>
          <w:szCs w:val="22"/>
          <w:lang w:val="el-GR"/>
        </w:rPr>
        <w:t>,</w:t>
      </w:r>
      <w:r w:rsidR="00C10963">
        <w:rPr>
          <w:iCs/>
          <w:sz w:val="22"/>
          <w:szCs w:val="22"/>
          <w:lang w:val="el-GR"/>
        </w:rPr>
        <w:t>6</w:t>
      </w:r>
      <w:r>
        <w:rPr>
          <w:iCs/>
          <w:sz w:val="22"/>
          <w:szCs w:val="22"/>
          <w:lang w:val="el-GR"/>
        </w:rPr>
        <w:t>%</w:t>
      </w:r>
      <w:r w:rsidR="006F666D">
        <w:rPr>
          <w:iCs/>
          <w:sz w:val="22"/>
          <w:szCs w:val="22"/>
          <w:lang w:val="el-GR"/>
        </w:rPr>
        <w:t xml:space="preserve"> </w:t>
      </w:r>
      <w:r w:rsidR="00CC4A17">
        <w:rPr>
          <w:iCs/>
          <w:sz w:val="22"/>
          <w:szCs w:val="22"/>
          <w:lang w:val="el-GR"/>
        </w:rPr>
        <w:t>απ</w:t>
      </w:r>
      <w:r w:rsidR="001A23B0">
        <w:rPr>
          <w:iCs/>
          <w:sz w:val="22"/>
          <w:szCs w:val="22"/>
          <w:lang w:val="el-GR"/>
        </w:rPr>
        <w:t xml:space="preserve">ό </w:t>
      </w:r>
      <w:r w:rsidR="00F85DEE">
        <w:rPr>
          <w:iCs/>
          <w:sz w:val="22"/>
          <w:szCs w:val="22"/>
          <w:lang w:val="el-GR"/>
        </w:rPr>
        <w:t>9,7</w:t>
      </w:r>
      <w:r w:rsidR="00CC4A17">
        <w:rPr>
          <w:iCs/>
          <w:sz w:val="22"/>
          <w:szCs w:val="22"/>
          <w:lang w:val="el-GR"/>
        </w:rPr>
        <w:t>% τον προηγούμενο μήνα</w:t>
      </w:r>
      <w:r>
        <w:rPr>
          <w:iCs/>
          <w:sz w:val="22"/>
          <w:szCs w:val="22"/>
          <w:lang w:val="el-GR"/>
        </w:rPr>
        <w:t>.</w:t>
      </w:r>
      <w:r w:rsidRPr="006E0053">
        <w:rPr>
          <w:iCs/>
          <w:sz w:val="22"/>
          <w:szCs w:val="22"/>
          <w:lang w:val="el-GR"/>
        </w:rPr>
        <w:t xml:space="preserve"> </w:t>
      </w:r>
      <w:r>
        <w:rPr>
          <w:iCs/>
          <w:sz w:val="22"/>
          <w:szCs w:val="22"/>
          <w:lang w:val="el-GR"/>
        </w:rPr>
        <w:t>Η</w:t>
      </w:r>
      <w:r w:rsidRPr="006E0053">
        <w:rPr>
          <w:iCs/>
          <w:sz w:val="22"/>
          <w:szCs w:val="22"/>
          <w:lang w:val="el-GR"/>
        </w:rPr>
        <w:t xml:space="preserve"> μηνιαία καθαρή ροή της χρηματοδότησής τους ήταν </w:t>
      </w:r>
      <w:r w:rsidR="002C5D17">
        <w:rPr>
          <w:iCs/>
          <w:sz w:val="22"/>
          <w:szCs w:val="22"/>
          <w:lang w:val="el-GR"/>
        </w:rPr>
        <w:t xml:space="preserve">θετική </w:t>
      </w:r>
      <w:r w:rsidRPr="006E0053">
        <w:rPr>
          <w:iCs/>
          <w:sz w:val="22"/>
          <w:szCs w:val="22"/>
          <w:lang w:val="el-GR"/>
        </w:rPr>
        <w:t xml:space="preserve">κατά </w:t>
      </w:r>
      <w:r w:rsidR="002C5D17">
        <w:rPr>
          <w:iCs/>
          <w:sz w:val="22"/>
          <w:szCs w:val="22"/>
          <w:lang w:val="el-GR"/>
        </w:rPr>
        <w:t>1.</w:t>
      </w:r>
      <w:r w:rsidR="00C10963">
        <w:rPr>
          <w:iCs/>
          <w:sz w:val="22"/>
          <w:szCs w:val="22"/>
          <w:lang w:val="el-GR"/>
        </w:rPr>
        <w:t>266</w:t>
      </w:r>
      <w:r w:rsidR="002C5D17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 xml:space="preserve">εκατ. ευρώ, έναντι </w:t>
      </w:r>
      <w:r w:rsidR="009F42C0">
        <w:rPr>
          <w:iCs/>
          <w:sz w:val="22"/>
          <w:szCs w:val="22"/>
          <w:lang w:val="el-GR"/>
        </w:rPr>
        <w:t xml:space="preserve">αρνητικής </w:t>
      </w:r>
      <w:r w:rsidRPr="006E0053">
        <w:rPr>
          <w:iCs/>
          <w:sz w:val="22"/>
          <w:szCs w:val="22"/>
          <w:lang w:val="el-GR"/>
        </w:rPr>
        <w:t xml:space="preserve">καθαρής ροής </w:t>
      </w:r>
      <w:r w:rsidR="002C5D17">
        <w:rPr>
          <w:iCs/>
          <w:sz w:val="22"/>
          <w:szCs w:val="22"/>
          <w:lang w:val="el-GR"/>
        </w:rPr>
        <w:t>90</w:t>
      </w:r>
      <w:r w:rsidR="00880081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>εκατ. ευρώ</w:t>
      </w:r>
      <w:r>
        <w:rPr>
          <w:iCs/>
          <w:sz w:val="22"/>
          <w:szCs w:val="22"/>
          <w:lang w:val="el-GR"/>
        </w:rPr>
        <w:t xml:space="preserve"> τον </w:t>
      </w:r>
      <w:r w:rsidRPr="006E0053">
        <w:rPr>
          <w:iCs/>
          <w:sz w:val="22"/>
          <w:szCs w:val="22"/>
          <w:lang w:val="el-GR"/>
        </w:rPr>
        <w:t xml:space="preserve">προηγούμενο μήνα. Ο ετήσιος ρυθμός μεταβολής της χρηματοδότησης των ασφαλιστικών επιχειρήσεων και των λοιπών χρηματοπιστωτικών ιδρυμάτων </w:t>
      </w:r>
      <w:r w:rsidR="006C53E4">
        <w:rPr>
          <w:iCs/>
          <w:sz w:val="22"/>
          <w:szCs w:val="22"/>
          <w:lang w:val="el-GR"/>
        </w:rPr>
        <w:t xml:space="preserve">μειώθηκε </w:t>
      </w:r>
      <w:r w:rsidR="00705F41">
        <w:rPr>
          <w:iCs/>
          <w:sz w:val="22"/>
          <w:szCs w:val="22"/>
          <w:lang w:val="el-GR"/>
        </w:rPr>
        <w:t>σ</w:t>
      </w:r>
      <w:r w:rsidR="000342E1">
        <w:rPr>
          <w:iCs/>
          <w:sz w:val="22"/>
          <w:szCs w:val="22"/>
          <w:lang w:val="el-GR"/>
        </w:rPr>
        <w:t>ε</w:t>
      </w:r>
      <w:r w:rsidR="009B5C17">
        <w:rPr>
          <w:iCs/>
          <w:sz w:val="22"/>
          <w:szCs w:val="22"/>
          <w:lang w:val="el-GR"/>
        </w:rPr>
        <w:t xml:space="preserve"> </w:t>
      </w:r>
      <w:r w:rsidR="002C5D17">
        <w:rPr>
          <w:iCs/>
          <w:sz w:val="22"/>
          <w:szCs w:val="22"/>
          <w:lang w:val="el-GR"/>
        </w:rPr>
        <w:t>6,8</w:t>
      </w:r>
      <w:r>
        <w:rPr>
          <w:iCs/>
          <w:sz w:val="22"/>
          <w:szCs w:val="22"/>
          <w:lang w:val="el-GR"/>
        </w:rPr>
        <w:t xml:space="preserve">% από </w:t>
      </w:r>
      <w:r w:rsidR="00450885">
        <w:rPr>
          <w:iCs/>
          <w:sz w:val="22"/>
          <w:szCs w:val="22"/>
          <w:lang w:val="el-GR"/>
        </w:rPr>
        <w:t>1</w:t>
      </w:r>
      <w:r w:rsidR="002C5D17">
        <w:rPr>
          <w:iCs/>
          <w:sz w:val="22"/>
          <w:szCs w:val="22"/>
          <w:lang w:val="el-GR"/>
        </w:rPr>
        <w:t>0,</w:t>
      </w:r>
      <w:r w:rsidR="00C10963">
        <w:rPr>
          <w:iCs/>
          <w:sz w:val="22"/>
          <w:szCs w:val="22"/>
          <w:lang w:val="el-GR"/>
        </w:rPr>
        <w:t>1</w:t>
      </w:r>
      <w:r>
        <w:rPr>
          <w:iCs/>
          <w:sz w:val="22"/>
          <w:szCs w:val="22"/>
          <w:lang w:val="el-GR"/>
        </w:rPr>
        <w:t>% τον προηγούμενο μήνα. Η</w:t>
      </w:r>
      <w:r w:rsidRPr="006E0053">
        <w:rPr>
          <w:iCs/>
          <w:sz w:val="22"/>
          <w:szCs w:val="22"/>
          <w:lang w:val="el-GR"/>
        </w:rPr>
        <w:t xml:space="preserve"> μηνιαία καθαρή ροή της χρηματοδότησής τους </w:t>
      </w:r>
      <w:r w:rsidR="00651B9C">
        <w:rPr>
          <w:iCs/>
          <w:sz w:val="22"/>
          <w:szCs w:val="22"/>
          <w:lang w:val="el-GR"/>
        </w:rPr>
        <w:t xml:space="preserve">ήταν </w:t>
      </w:r>
      <w:r w:rsidR="00816D42">
        <w:rPr>
          <w:iCs/>
          <w:sz w:val="22"/>
          <w:szCs w:val="22"/>
          <w:lang w:val="el-GR"/>
        </w:rPr>
        <w:t xml:space="preserve">αρνητική </w:t>
      </w:r>
      <w:r w:rsidRPr="006E0053">
        <w:rPr>
          <w:iCs/>
          <w:sz w:val="22"/>
          <w:szCs w:val="22"/>
          <w:lang w:val="el-GR"/>
        </w:rPr>
        <w:t xml:space="preserve">κατά </w:t>
      </w:r>
      <w:r w:rsidR="00816D42">
        <w:rPr>
          <w:iCs/>
          <w:sz w:val="22"/>
          <w:szCs w:val="22"/>
          <w:lang w:val="el-GR"/>
        </w:rPr>
        <w:t>85</w:t>
      </w:r>
      <w:r w:rsidR="0033593F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 xml:space="preserve">εκατ. ευρώ, έναντι </w:t>
      </w:r>
      <w:r w:rsidR="00816D42">
        <w:rPr>
          <w:iCs/>
          <w:sz w:val="22"/>
          <w:szCs w:val="22"/>
          <w:lang w:val="el-GR"/>
        </w:rPr>
        <w:t xml:space="preserve">θετικής </w:t>
      </w:r>
      <w:r w:rsidRPr="006E0053">
        <w:rPr>
          <w:iCs/>
          <w:sz w:val="22"/>
          <w:szCs w:val="22"/>
          <w:lang w:val="el-GR"/>
        </w:rPr>
        <w:t xml:space="preserve">καθαρής ροής </w:t>
      </w:r>
      <w:r w:rsidR="00816D42">
        <w:rPr>
          <w:iCs/>
          <w:sz w:val="22"/>
          <w:szCs w:val="22"/>
          <w:lang w:val="el-GR"/>
        </w:rPr>
        <w:t>240</w:t>
      </w:r>
      <w:r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>εκατ. ευρώ τον προηγούμενο μήνα.</w:t>
      </w:r>
    </w:p>
    <w:p w14:paraId="6C5EC6DD" w14:textId="77777777" w:rsidR="00106E0C" w:rsidRPr="003C683E" w:rsidRDefault="00106E0C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0AFFF4E3" w14:textId="77777777" w:rsidR="00106E0C" w:rsidRPr="00EE4D7B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Ι.2.2 Χρηματοδότηση των ελεύθερων επαγγελματιών, αγροτών και ατομικών επιχειρήσεων</w:t>
      </w:r>
    </w:p>
    <w:p w14:paraId="186271D3" w14:textId="348EDD8A" w:rsidR="002433E2" w:rsidRPr="006E0053" w:rsidRDefault="00345924" w:rsidP="002433E2">
      <w:pPr>
        <w:spacing w:line="360" w:lineRule="auto"/>
        <w:jc w:val="both"/>
        <w:rPr>
          <w:iCs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2433E2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2023</w:t>
      </w:r>
      <w:r w:rsidR="002433E2" w:rsidRPr="006E0053">
        <w:rPr>
          <w:iCs/>
          <w:sz w:val="22"/>
          <w:szCs w:val="22"/>
          <w:lang w:val="el-GR"/>
        </w:rPr>
        <w:t>, η μηνιαία καθαρή ροή της χρηματοδότησης προς τους ελεύθερους επαγγελματίες, αγρότες και</w:t>
      </w:r>
      <w:r w:rsidR="002433E2">
        <w:rPr>
          <w:iCs/>
          <w:sz w:val="22"/>
          <w:szCs w:val="22"/>
          <w:lang w:val="el-GR"/>
        </w:rPr>
        <w:t xml:space="preserve"> ατομικές επιχειρήσεις ήταν </w:t>
      </w:r>
      <w:r w:rsidR="00087BC5">
        <w:rPr>
          <w:iCs/>
          <w:sz w:val="22"/>
          <w:szCs w:val="22"/>
          <w:lang w:val="el-GR"/>
        </w:rPr>
        <w:t xml:space="preserve">θετική </w:t>
      </w:r>
      <w:r w:rsidR="002433E2" w:rsidRPr="006E0053">
        <w:rPr>
          <w:iCs/>
          <w:sz w:val="22"/>
          <w:szCs w:val="22"/>
          <w:lang w:val="el-GR"/>
        </w:rPr>
        <w:t xml:space="preserve">κατά </w:t>
      </w:r>
      <w:r w:rsidR="00087BC5">
        <w:rPr>
          <w:iCs/>
          <w:sz w:val="22"/>
          <w:szCs w:val="22"/>
          <w:lang w:val="el-GR"/>
        </w:rPr>
        <w:t>60</w:t>
      </w:r>
      <w:r w:rsidR="002433E2">
        <w:rPr>
          <w:iCs/>
          <w:sz w:val="22"/>
          <w:szCs w:val="22"/>
          <w:lang w:val="el-GR"/>
        </w:rPr>
        <w:t xml:space="preserve"> ε</w:t>
      </w:r>
      <w:r w:rsidR="002433E2" w:rsidRPr="006E0053">
        <w:rPr>
          <w:iCs/>
          <w:sz w:val="22"/>
          <w:szCs w:val="22"/>
          <w:lang w:val="el-GR"/>
        </w:rPr>
        <w:t xml:space="preserve">κατ. ευρώ, έναντι </w:t>
      </w:r>
      <w:r w:rsidR="00A8342E">
        <w:rPr>
          <w:iCs/>
          <w:sz w:val="22"/>
          <w:szCs w:val="22"/>
          <w:lang w:val="el-GR"/>
        </w:rPr>
        <w:t xml:space="preserve">αρνητικής </w:t>
      </w:r>
      <w:r w:rsidR="002433E2" w:rsidRPr="006E0053">
        <w:rPr>
          <w:iCs/>
          <w:sz w:val="22"/>
          <w:szCs w:val="22"/>
          <w:lang w:val="el-GR"/>
        </w:rPr>
        <w:t xml:space="preserve">καθαρής ροής </w:t>
      </w:r>
      <w:r w:rsidR="00087BC5">
        <w:rPr>
          <w:iCs/>
          <w:sz w:val="22"/>
          <w:szCs w:val="22"/>
          <w:lang w:val="el-GR"/>
        </w:rPr>
        <w:t>21</w:t>
      </w:r>
      <w:r w:rsidR="00442225">
        <w:rPr>
          <w:iCs/>
          <w:sz w:val="22"/>
          <w:szCs w:val="22"/>
          <w:lang w:val="el-GR"/>
        </w:rPr>
        <w:t xml:space="preserve"> </w:t>
      </w:r>
      <w:r w:rsidR="002433E2" w:rsidRPr="006E0053">
        <w:rPr>
          <w:iCs/>
          <w:sz w:val="22"/>
          <w:szCs w:val="22"/>
          <w:lang w:val="el-GR"/>
        </w:rPr>
        <w:t xml:space="preserve">εκατ. ευρώ τον προηγούμενο μήνα. Ο ετήσιος ρυθμός μεταβολής της χρηματοδότησής </w:t>
      </w:r>
      <w:r w:rsidR="00DA2F34">
        <w:rPr>
          <w:iCs/>
          <w:sz w:val="22"/>
          <w:szCs w:val="22"/>
          <w:lang w:val="el-GR"/>
        </w:rPr>
        <w:t xml:space="preserve">τους </w:t>
      </w:r>
      <w:r w:rsidR="000F7D00">
        <w:rPr>
          <w:iCs/>
          <w:sz w:val="22"/>
          <w:szCs w:val="22"/>
          <w:lang w:val="el-GR"/>
        </w:rPr>
        <w:t xml:space="preserve">διαμορφώθηκε </w:t>
      </w:r>
      <w:r w:rsidR="006F70AE">
        <w:rPr>
          <w:iCs/>
          <w:sz w:val="22"/>
          <w:szCs w:val="22"/>
          <w:lang w:val="el-GR"/>
        </w:rPr>
        <w:t xml:space="preserve">σε </w:t>
      </w:r>
      <w:r w:rsidR="00BA5DF1">
        <w:rPr>
          <w:iCs/>
          <w:sz w:val="22"/>
          <w:szCs w:val="22"/>
          <w:lang w:val="el-GR"/>
        </w:rPr>
        <w:t>-</w:t>
      </w:r>
      <w:r w:rsidR="00087BC5">
        <w:rPr>
          <w:iCs/>
          <w:sz w:val="22"/>
          <w:szCs w:val="22"/>
          <w:lang w:val="el-GR"/>
        </w:rPr>
        <w:t>1,2</w:t>
      </w:r>
      <w:r w:rsidR="002433E2" w:rsidRPr="006E0053">
        <w:rPr>
          <w:sz w:val="22"/>
          <w:szCs w:val="22"/>
          <w:lang w:val="el-GR"/>
        </w:rPr>
        <w:t>%</w:t>
      </w:r>
      <w:r w:rsidR="002D5BB6" w:rsidRPr="001E3FA8">
        <w:rPr>
          <w:sz w:val="22"/>
          <w:szCs w:val="22"/>
          <w:lang w:val="el-GR"/>
        </w:rPr>
        <w:t>,</w:t>
      </w:r>
      <w:r w:rsidR="00F02162">
        <w:rPr>
          <w:sz w:val="22"/>
          <w:szCs w:val="22"/>
          <w:lang w:val="el-GR"/>
        </w:rPr>
        <w:t xml:space="preserve"> από </w:t>
      </w:r>
      <w:r w:rsidR="000F7D00">
        <w:rPr>
          <w:sz w:val="22"/>
          <w:szCs w:val="22"/>
          <w:lang w:val="el-GR"/>
        </w:rPr>
        <w:t>-</w:t>
      </w:r>
      <w:r w:rsidR="00087BC5">
        <w:rPr>
          <w:sz w:val="22"/>
          <w:szCs w:val="22"/>
          <w:lang w:val="el-GR"/>
        </w:rPr>
        <w:t>2,0</w:t>
      </w:r>
      <w:r w:rsidR="00F02162">
        <w:rPr>
          <w:sz w:val="22"/>
          <w:szCs w:val="22"/>
          <w:lang w:val="el-GR"/>
        </w:rPr>
        <w:t>% τον προηγούμενο μήνα</w:t>
      </w:r>
      <w:r w:rsidR="00266000">
        <w:rPr>
          <w:sz w:val="22"/>
          <w:szCs w:val="22"/>
          <w:lang w:val="el-GR"/>
        </w:rPr>
        <w:t>.</w:t>
      </w:r>
    </w:p>
    <w:p w14:paraId="13B55876" w14:textId="77777777" w:rsidR="00106E0C" w:rsidRPr="003C683E" w:rsidRDefault="00106E0C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2F0F722C" w14:textId="77777777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Ι.2.3 Χρηματοδότηση των ιδιωτών και ιδιωτικών μη κερδοσκοπικών ιδρυμάτων</w:t>
      </w:r>
    </w:p>
    <w:p w14:paraId="13A2DAFE" w14:textId="648876A2" w:rsidR="0059539D" w:rsidRDefault="009F7B6A" w:rsidP="002433E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Αρνητική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3F17E2">
        <w:rPr>
          <w:sz w:val="22"/>
          <w:szCs w:val="22"/>
          <w:lang w:val="el-GR"/>
        </w:rPr>
        <w:t>69</w:t>
      </w:r>
      <w:r w:rsidR="00784545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ήταν η μηνιαία καθαρή ροή της χρηματοδότησης προς τους ιδιώτες και τα ιδιωτ</w:t>
      </w:r>
      <w:r w:rsidR="002433E2">
        <w:rPr>
          <w:sz w:val="22"/>
          <w:szCs w:val="22"/>
          <w:lang w:val="el-GR"/>
        </w:rPr>
        <w:t>ικά μη κερδοσκοπικά ιδρύματα</w:t>
      </w:r>
      <w:r w:rsidR="001560A2" w:rsidRPr="00A03197">
        <w:rPr>
          <w:sz w:val="22"/>
          <w:szCs w:val="22"/>
          <w:lang w:val="el-GR"/>
        </w:rPr>
        <w:t>,</w:t>
      </w:r>
      <w:r w:rsidR="00544B51">
        <w:rPr>
          <w:sz w:val="22"/>
          <w:szCs w:val="22"/>
          <w:lang w:val="el-GR"/>
        </w:rPr>
        <w:t xml:space="preserve"> 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2433E2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2023</w:t>
      </w:r>
      <w:r w:rsidR="002433E2" w:rsidRPr="006E0053">
        <w:rPr>
          <w:sz w:val="22"/>
          <w:szCs w:val="22"/>
          <w:lang w:val="el-GR"/>
        </w:rPr>
        <w:t xml:space="preserve">, έναντι </w:t>
      </w:r>
      <w:r w:rsidR="00A66678">
        <w:rPr>
          <w:sz w:val="22"/>
          <w:szCs w:val="22"/>
          <w:lang w:val="el-GR"/>
        </w:rPr>
        <w:t xml:space="preserve">αρνητικής </w:t>
      </w:r>
      <w:r w:rsidR="002433E2" w:rsidRPr="006E0053">
        <w:rPr>
          <w:sz w:val="22"/>
          <w:szCs w:val="22"/>
          <w:lang w:val="el-GR"/>
        </w:rPr>
        <w:t xml:space="preserve">καθαρής ροής </w:t>
      </w:r>
      <w:r w:rsidR="003F17E2">
        <w:rPr>
          <w:sz w:val="22"/>
          <w:szCs w:val="22"/>
          <w:lang w:val="el-GR"/>
        </w:rPr>
        <w:t>1</w:t>
      </w:r>
      <w:r w:rsidR="00D82D67">
        <w:rPr>
          <w:sz w:val="22"/>
          <w:szCs w:val="22"/>
          <w:lang w:val="el-GR"/>
        </w:rPr>
        <w:t>03</w:t>
      </w:r>
      <w:r w:rsidR="00BA78D0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εκατ. ευρώ τον προηγούμενο μήνα. Ο ετήσιος ρυθμός μεταβολής της χρηματοδότησής τους </w:t>
      </w:r>
      <w:r w:rsidR="003F17E2">
        <w:rPr>
          <w:sz w:val="22"/>
          <w:szCs w:val="22"/>
          <w:lang w:val="el-GR"/>
        </w:rPr>
        <w:t xml:space="preserve">παρέμεινε αμετάβλητος στο </w:t>
      </w:r>
      <w:r w:rsidR="00FB7FDE">
        <w:rPr>
          <w:sz w:val="22"/>
          <w:szCs w:val="22"/>
          <w:lang w:val="el-GR"/>
        </w:rPr>
        <w:t>-2,</w:t>
      </w:r>
      <w:r w:rsidR="00FC1909">
        <w:rPr>
          <w:sz w:val="22"/>
          <w:szCs w:val="22"/>
          <w:lang w:val="el-GR"/>
        </w:rPr>
        <w:t>5</w:t>
      </w:r>
      <w:r w:rsidR="00FB7FDE">
        <w:rPr>
          <w:sz w:val="22"/>
          <w:szCs w:val="22"/>
          <w:lang w:val="el-GR"/>
        </w:rPr>
        <w:t>%</w:t>
      </w:r>
      <w:r w:rsidR="00C61B21" w:rsidRPr="00FC6223">
        <w:rPr>
          <w:sz w:val="22"/>
          <w:szCs w:val="22"/>
          <w:lang w:val="el-GR"/>
        </w:rPr>
        <w:t>,</w:t>
      </w:r>
      <w:r w:rsidR="008B2906">
        <w:rPr>
          <w:sz w:val="22"/>
          <w:szCs w:val="22"/>
          <w:lang w:val="el-GR"/>
        </w:rPr>
        <w:t xml:space="preserve"> </w:t>
      </w:r>
      <w:r w:rsidR="003F17E2">
        <w:rPr>
          <w:sz w:val="22"/>
          <w:szCs w:val="22"/>
          <w:lang w:val="el-GR"/>
        </w:rPr>
        <w:t xml:space="preserve">σε σχέση με τον </w:t>
      </w:r>
      <w:r w:rsidR="008B2906">
        <w:rPr>
          <w:sz w:val="22"/>
          <w:szCs w:val="22"/>
          <w:lang w:val="el-GR"/>
        </w:rPr>
        <w:t>προηγούμενο μήνα</w:t>
      </w:r>
      <w:r w:rsidR="006A7763">
        <w:rPr>
          <w:sz w:val="22"/>
          <w:szCs w:val="22"/>
          <w:lang w:val="el-GR"/>
        </w:rPr>
        <w:t>.</w:t>
      </w:r>
    </w:p>
    <w:p w14:paraId="623C0B47" w14:textId="77777777" w:rsidR="00EF3B8B" w:rsidRDefault="00EF3B8B" w:rsidP="002433E2">
      <w:pPr>
        <w:spacing w:line="360" w:lineRule="auto"/>
        <w:jc w:val="both"/>
        <w:rPr>
          <w:sz w:val="22"/>
          <w:szCs w:val="22"/>
          <w:lang w:val="el-GR"/>
        </w:rPr>
      </w:pPr>
    </w:p>
    <w:p w14:paraId="25885FE7" w14:textId="77777777" w:rsidR="006A7763" w:rsidRPr="000D18FB" w:rsidRDefault="006A7763" w:rsidP="002433E2">
      <w:pPr>
        <w:spacing w:line="360" w:lineRule="auto"/>
        <w:jc w:val="both"/>
        <w:rPr>
          <w:sz w:val="16"/>
          <w:szCs w:val="16"/>
          <w:lang w:val="el-GR"/>
        </w:rPr>
      </w:pPr>
    </w:p>
    <w:p w14:paraId="6F625FDF" w14:textId="66326182" w:rsidR="00106E0C" w:rsidRDefault="00CF18E7" w:rsidP="00106E0C">
      <w:pPr>
        <w:numPr>
          <w:ilvl w:val="0"/>
          <w:numId w:val="5"/>
        </w:numPr>
        <w:spacing w:line="360" w:lineRule="auto"/>
        <w:jc w:val="both"/>
        <w:rPr>
          <w:b/>
          <w:color w:val="1F3864"/>
          <w:szCs w:val="24"/>
          <w:lang w:val="el-GR"/>
        </w:rPr>
      </w:pPr>
      <w:r w:rsidRPr="002433E2">
        <w:rPr>
          <w:b/>
          <w:color w:val="1F3864"/>
          <w:szCs w:val="24"/>
          <w:lang w:val="el-GR"/>
        </w:rPr>
        <w:t xml:space="preserve">Καταθέσεις </w:t>
      </w:r>
      <w:r w:rsidR="00106E0C" w:rsidRPr="002433E2">
        <w:rPr>
          <w:b/>
          <w:color w:val="1F3864"/>
          <w:szCs w:val="24"/>
          <w:lang w:val="el-GR"/>
        </w:rPr>
        <w:t>της εγχώριας οικονομίας στα εγχώρια πιστωτικά ιδρύματ</w:t>
      </w:r>
      <w:r w:rsidRPr="002433E2">
        <w:rPr>
          <w:b/>
          <w:color w:val="1F3864"/>
          <w:szCs w:val="24"/>
          <w:lang w:val="el-GR"/>
        </w:rPr>
        <w:t>α</w:t>
      </w:r>
    </w:p>
    <w:p w14:paraId="072CB23B" w14:textId="77777777" w:rsidR="000D18FB" w:rsidRPr="000D18FB" w:rsidRDefault="000D18FB" w:rsidP="00DB1C5D">
      <w:pPr>
        <w:spacing w:line="360" w:lineRule="auto"/>
        <w:jc w:val="both"/>
        <w:rPr>
          <w:sz w:val="16"/>
          <w:szCs w:val="16"/>
          <w:lang w:val="el-GR"/>
        </w:rPr>
      </w:pPr>
    </w:p>
    <w:p w14:paraId="2F23C1AA" w14:textId="60303515" w:rsidR="0034353A" w:rsidRPr="00DB1C5D" w:rsidRDefault="0034353A" w:rsidP="00DB1C5D">
      <w:pPr>
        <w:spacing w:line="360" w:lineRule="auto"/>
        <w:jc w:val="both"/>
        <w:rPr>
          <w:sz w:val="22"/>
          <w:szCs w:val="22"/>
          <w:lang w:val="el-GR"/>
        </w:rPr>
      </w:pPr>
      <w:r w:rsidRPr="00DB1C5D">
        <w:rPr>
          <w:sz w:val="22"/>
          <w:szCs w:val="22"/>
          <w:lang w:val="en-US"/>
        </w:rPr>
        <w:t>H</w:t>
      </w:r>
      <w:r w:rsidRPr="00DB1C5D">
        <w:rPr>
          <w:sz w:val="22"/>
          <w:szCs w:val="22"/>
          <w:lang w:val="el-GR"/>
        </w:rPr>
        <w:t xml:space="preserve"> μηνιαία καθαρή ροή του συνόλου των καταθέσεων ήταν </w:t>
      </w:r>
      <w:r w:rsidR="005B3A5C">
        <w:rPr>
          <w:sz w:val="22"/>
          <w:szCs w:val="22"/>
          <w:lang w:val="el-GR"/>
        </w:rPr>
        <w:t xml:space="preserve">θετική </w:t>
      </w:r>
      <w:r w:rsidRPr="00DB1C5D">
        <w:rPr>
          <w:sz w:val="22"/>
          <w:szCs w:val="22"/>
          <w:lang w:val="el-GR"/>
        </w:rPr>
        <w:t xml:space="preserve">κατά </w:t>
      </w:r>
      <w:r w:rsidR="00FE2C9C">
        <w:rPr>
          <w:sz w:val="22"/>
          <w:szCs w:val="22"/>
          <w:lang w:val="el-GR"/>
        </w:rPr>
        <w:t>2.</w:t>
      </w:r>
      <w:r w:rsidR="00297FB8">
        <w:rPr>
          <w:sz w:val="22"/>
          <w:szCs w:val="22"/>
          <w:lang w:val="el-GR"/>
        </w:rPr>
        <w:t>979</w:t>
      </w:r>
      <w:r w:rsidRPr="00DB1C5D">
        <w:rPr>
          <w:sz w:val="22"/>
          <w:szCs w:val="22"/>
          <w:lang w:val="el-GR"/>
        </w:rPr>
        <w:t xml:space="preserve"> εκατ. ευρώ</w:t>
      </w:r>
      <w:r w:rsidR="001560A2" w:rsidRPr="00A03197">
        <w:rPr>
          <w:sz w:val="22"/>
          <w:szCs w:val="22"/>
          <w:lang w:val="el-GR"/>
        </w:rPr>
        <w:t>,</w:t>
      </w:r>
      <w:r w:rsidR="00544B51">
        <w:rPr>
          <w:sz w:val="22"/>
          <w:szCs w:val="22"/>
          <w:lang w:val="el-GR"/>
        </w:rPr>
        <w:t xml:space="preserve"> 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10511F">
        <w:rPr>
          <w:sz w:val="22"/>
          <w:szCs w:val="22"/>
          <w:lang w:val="el-GR"/>
        </w:rPr>
        <w:t xml:space="preserve"> του </w:t>
      </w:r>
      <w:r w:rsidR="00AC74AC">
        <w:rPr>
          <w:sz w:val="22"/>
          <w:szCs w:val="22"/>
          <w:lang w:val="el-GR"/>
        </w:rPr>
        <w:t>2023</w:t>
      </w:r>
      <w:r w:rsidRPr="00DB1C5D">
        <w:rPr>
          <w:sz w:val="22"/>
          <w:szCs w:val="22"/>
          <w:lang w:val="el-GR"/>
        </w:rPr>
        <w:t xml:space="preserve">, έναντι </w:t>
      </w:r>
      <w:r w:rsidR="00D82D67">
        <w:rPr>
          <w:sz w:val="22"/>
          <w:szCs w:val="22"/>
          <w:lang w:val="el-GR"/>
        </w:rPr>
        <w:t xml:space="preserve">αρνητικής </w:t>
      </w:r>
      <w:r w:rsidRPr="00DB1C5D">
        <w:rPr>
          <w:sz w:val="22"/>
          <w:szCs w:val="22"/>
          <w:lang w:val="el-GR"/>
        </w:rPr>
        <w:t xml:space="preserve">καθαρής ροής </w:t>
      </w:r>
      <w:r w:rsidR="00FE2C9C">
        <w:rPr>
          <w:sz w:val="22"/>
          <w:szCs w:val="22"/>
          <w:lang w:val="el-GR"/>
        </w:rPr>
        <w:t>1.090</w:t>
      </w:r>
      <w:r w:rsidR="00325885">
        <w:rPr>
          <w:sz w:val="22"/>
          <w:szCs w:val="22"/>
          <w:lang w:val="el-GR"/>
        </w:rPr>
        <w:t xml:space="preserve"> </w:t>
      </w:r>
      <w:r w:rsidRPr="00DB1C5D">
        <w:rPr>
          <w:sz w:val="22"/>
          <w:szCs w:val="22"/>
          <w:lang w:val="el-GR"/>
        </w:rPr>
        <w:t>εκατ. ευρώ το</w:t>
      </w:r>
      <w:r w:rsidR="00D82D67">
        <w:rPr>
          <w:sz w:val="22"/>
          <w:szCs w:val="22"/>
          <w:lang w:val="el-GR"/>
        </w:rPr>
        <w:t xml:space="preserve"> </w:t>
      </w:r>
      <w:r w:rsidR="00FE2C9C">
        <w:rPr>
          <w:sz w:val="22"/>
          <w:szCs w:val="22"/>
          <w:lang w:val="el-GR"/>
        </w:rPr>
        <w:t xml:space="preserve">Φεβρουάριο </w:t>
      </w:r>
      <w:r w:rsidRPr="00DB1C5D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</w:t>
      </w:r>
      <w:r w:rsidR="00D82D67">
        <w:rPr>
          <w:sz w:val="22"/>
          <w:szCs w:val="22"/>
          <w:lang w:val="el-GR"/>
        </w:rPr>
        <w:t>3</w:t>
      </w:r>
      <w:r w:rsidRPr="00DB1C5D">
        <w:rPr>
          <w:sz w:val="22"/>
          <w:szCs w:val="22"/>
          <w:lang w:val="el-GR"/>
        </w:rPr>
        <w:t>.</w:t>
      </w:r>
    </w:p>
    <w:p w14:paraId="2C04DFC1" w14:textId="44634AA7" w:rsidR="00106E0C" w:rsidRDefault="00106E0C" w:rsidP="00106E0C">
      <w:pPr>
        <w:spacing w:line="360" w:lineRule="auto"/>
        <w:jc w:val="both"/>
        <w:rPr>
          <w:b/>
          <w:sz w:val="16"/>
          <w:szCs w:val="16"/>
          <w:lang w:val="el-GR"/>
        </w:rPr>
      </w:pPr>
    </w:p>
    <w:p w14:paraId="5208BEC3" w14:textId="4F2CA0F4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 xml:space="preserve">ΙΙ.1 Καταθέσεις από τη γενική κυβέρνηση </w:t>
      </w:r>
    </w:p>
    <w:p w14:paraId="348B1BE7" w14:textId="4606F198" w:rsidR="002433E2" w:rsidRPr="006E0053" w:rsidRDefault="00C14B0D" w:rsidP="002433E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Αύξηση </w:t>
      </w:r>
      <w:r w:rsidR="00E05CD8">
        <w:rPr>
          <w:sz w:val="22"/>
          <w:szCs w:val="22"/>
          <w:lang w:val="el-GR"/>
        </w:rPr>
        <w:t>κ</w:t>
      </w:r>
      <w:r w:rsidR="002433E2" w:rsidRPr="006E0053">
        <w:rPr>
          <w:sz w:val="22"/>
          <w:szCs w:val="22"/>
          <w:lang w:val="el-GR"/>
        </w:rPr>
        <w:t>ατά</w:t>
      </w:r>
      <w:r w:rsidR="00342E32">
        <w:rPr>
          <w:sz w:val="22"/>
          <w:szCs w:val="22"/>
          <w:lang w:val="el-GR"/>
        </w:rPr>
        <w:t xml:space="preserve"> </w:t>
      </w:r>
      <w:r w:rsidR="00297FB8">
        <w:rPr>
          <w:sz w:val="22"/>
          <w:szCs w:val="22"/>
          <w:lang w:val="el-GR"/>
        </w:rPr>
        <w:t>661</w:t>
      </w:r>
      <w:r w:rsidR="00E05CD8">
        <w:rPr>
          <w:sz w:val="22"/>
          <w:szCs w:val="22"/>
          <w:lang w:val="el-GR"/>
        </w:rPr>
        <w:t xml:space="preserve"> </w:t>
      </w:r>
      <w:r w:rsidR="002433E2">
        <w:rPr>
          <w:sz w:val="22"/>
          <w:szCs w:val="22"/>
          <w:lang w:val="el-GR"/>
        </w:rPr>
        <w:t>εκατ. ευρώ παρουσίασαν,</w:t>
      </w:r>
      <w:r w:rsidR="00544B51">
        <w:rPr>
          <w:sz w:val="22"/>
          <w:szCs w:val="22"/>
          <w:lang w:val="el-GR"/>
        </w:rPr>
        <w:t xml:space="preserve"> 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2433E2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2023</w:t>
      </w:r>
      <w:r w:rsidR="002433E2" w:rsidRPr="006E0053">
        <w:rPr>
          <w:iCs/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οι καταθέσεις της γενικής κυβέρνησης, έναντι </w:t>
      </w:r>
      <w:r w:rsidR="005123A7">
        <w:rPr>
          <w:sz w:val="22"/>
          <w:szCs w:val="22"/>
          <w:lang w:val="el-GR"/>
        </w:rPr>
        <w:t xml:space="preserve">αύξησης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FE2C9C">
        <w:rPr>
          <w:sz w:val="22"/>
          <w:szCs w:val="22"/>
          <w:lang w:val="el-GR"/>
        </w:rPr>
        <w:t>366</w:t>
      </w:r>
      <w:r w:rsidR="002433E2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</w:t>
      </w:r>
      <w:r w:rsidR="00942470" w:rsidRPr="005247FD">
        <w:rPr>
          <w:sz w:val="22"/>
          <w:szCs w:val="22"/>
          <w:lang w:val="el-GR"/>
        </w:rPr>
        <w:t>,</w:t>
      </w:r>
      <w:r w:rsidR="002433E2">
        <w:rPr>
          <w:sz w:val="22"/>
          <w:szCs w:val="22"/>
          <w:lang w:val="el-GR"/>
        </w:rPr>
        <w:t xml:space="preserve"> και</w:t>
      </w:r>
      <w:r w:rsidR="002433E2" w:rsidRPr="006E0053">
        <w:rPr>
          <w:sz w:val="22"/>
          <w:szCs w:val="22"/>
          <w:lang w:val="el-GR"/>
        </w:rPr>
        <w:t xml:space="preserve"> ο ετήσιος ρυ</w:t>
      </w:r>
      <w:r w:rsidR="002433E2">
        <w:rPr>
          <w:sz w:val="22"/>
          <w:szCs w:val="22"/>
          <w:lang w:val="el-GR"/>
        </w:rPr>
        <w:t xml:space="preserve">θμός μεταβολής </w:t>
      </w:r>
      <w:r w:rsidR="0033653E">
        <w:rPr>
          <w:sz w:val="22"/>
          <w:szCs w:val="22"/>
          <w:lang w:val="el-GR"/>
        </w:rPr>
        <w:t>αυξήθηκε</w:t>
      </w:r>
      <w:r w:rsidR="00F26B1B">
        <w:rPr>
          <w:sz w:val="22"/>
          <w:szCs w:val="22"/>
          <w:lang w:val="el-GR"/>
        </w:rPr>
        <w:t xml:space="preserve"> </w:t>
      </w:r>
      <w:r w:rsidR="00114686">
        <w:rPr>
          <w:sz w:val="22"/>
          <w:szCs w:val="22"/>
          <w:lang w:val="el-GR"/>
        </w:rPr>
        <w:t xml:space="preserve">σε </w:t>
      </w:r>
      <w:r w:rsidR="00297FB8">
        <w:rPr>
          <w:sz w:val="22"/>
          <w:szCs w:val="22"/>
          <w:lang w:val="el-GR"/>
        </w:rPr>
        <w:t>3,2%</w:t>
      </w:r>
      <w:r w:rsidR="00D15DC3">
        <w:rPr>
          <w:sz w:val="22"/>
          <w:szCs w:val="22"/>
          <w:lang w:val="el-GR"/>
        </w:rPr>
        <w:t xml:space="preserve"> από </w:t>
      </w:r>
      <w:r w:rsidR="00F26B1B">
        <w:rPr>
          <w:sz w:val="22"/>
          <w:szCs w:val="22"/>
          <w:lang w:val="el-GR"/>
        </w:rPr>
        <w:t>-</w:t>
      </w:r>
      <w:r w:rsidR="00FE2C9C">
        <w:rPr>
          <w:sz w:val="22"/>
          <w:szCs w:val="22"/>
          <w:lang w:val="el-GR"/>
        </w:rPr>
        <w:t>2,</w:t>
      </w:r>
      <w:r w:rsidR="00297FB8">
        <w:rPr>
          <w:sz w:val="22"/>
          <w:szCs w:val="22"/>
          <w:lang w:val="el-GR"/>
        </w:rPr>
        <w:t>1</w:t>
      </w:r>
      <w:r w:rsidR="00D15DC3">
        <w:rPr>
          <w:sz w:val="22"/>
          <w:szCs w:val="22"/>
          <w:lang w:val="el-GR"/>
        </w:rPr>
        <w:t xml:space="preserve">% </w:t>
      </w:r>
      <w:r w:rsidR="002433E2" w:rsidRPr="006E0053">
        <w:rPr>
          <w:sz w:val="22"/>
          <w:szCs w:val="22"/>
          <w:lang w:val="el-GR"/>
        </w:rPr>
        <w:t>τον προηγούμενο μήνα.</w:t>
      </w:r>
    </w:p>
    <w:p w14:paraId="57BA3752" w14:textId="77777777" w:rsidR="00106E0C" w:rsidRPr="000D18FB" w:rsidRDefault="00106E0C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1DE92CCB" w14:textId="77777777" w:rsidR="00106E0C" w:rsidRPr="002433E2" w:rsidRDefault="00106E0C" w:rsidP="00106E0C">
      <w:pPr>
        <w:keepNext/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ΙΙ.2 Καταθέσεις από τον ιδιωτικό τομέα</w:t>
      </w:r>
    </w:p>
    <w:p w14:paraId="15681FB8" w14:textId="01207B9B" w:rsidR="002433E2" w:rsidRDefault="00FE2C9C" w:rsidP="002433E2">
      <w:pPr>
        <w:keepNext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Αύξηση κ</w:t>
      </w:r>
      <w:r w:rsidR="002433E2">
        <w:rPr>
          <w:sz w:val="22"/>
          <w:szCs w:val="22"/>
          <w:lang w:val="el-GR"/>
        </w:rPr>
        <w:t xml:space="preserve">ατά </w:t>
      </w:r>
      <w:r>
        <w:rPr>
          <w:sz w:val="22"/>
          <w:szCs w:val="22"/>
          <w:lang w:val="el-GR"/>
        </w:rPr>
        <w:t>2.318</w:t>
      </w:r>
      <w:r w:rsidR="00FD4DFD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παρουσίασαν,</w:t>
      </w:r>
      <w:r w:rsidR="00544B51">
        <w:rPr>
          <w:sz w:val="22"/>
          <w:szCs w:val="22"/>
          <w:lang w:val="el-GR"/>
        </w:rPr>
        <w:t xml:space="preserve"> 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2433E2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2023</w:t>
      </w:r>
      <w:r w:rsidR="002433E2" w:rsidRPr="006E0053">
        <w:rPr>
          <w:iCs/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οι καταθέσεις του ιδιωτικού τομέα, έναντι </w:t>
      </w:r>
      <w:r w:rsidR="00E20691">
        <w:rPr>
          <w:sz w:val="22"/>
          <w:szCs w:val="22"/>
          <w:lang w:val="el-GR"/>
        </w:rPr>
        <w:t xml:space="preserve">μείωσης </w:t>
      </w:r>
      <w:r w:rsidR="002433E2" w:rsidRPr="006E0053">
        <w:rPr>
          <w:sz w:val="22"/>
          <w:szCs w:val="22"/>
          <w:lang w:val="el-GR"/>
        </w:rPr>
        <w:t xml:space="preserve">κατά </w:t>
      </w:r>
      <w:r>
        <w:rPr>
          <w:sz w:val="22"/>
          <w:szCs w:val="22"/>
          <w:lang w:val="el-GR"/>
        </w:rPr>
        <w:t>1.456</w:t>
      </w:r>
      <w:r w:rsidR="00C477DD">
        <w:rPr>
          <w:sz w:val="22"/>
          <w:szCs w:val="22"/>
          <w:lang w:val="el-GR"/>
        </w:rPr>
        <w:t xml:space="preserve"> </w:t>
      </w:r>
      <w:r w:rsidR="00EF7CCA">
        <w:rPr>
          <w:sz w:val="22"/>
          <w:szCs w:val="22"/>
          <w:lang w:val="el-GR"/>
        </w:rPr>
        <w:t>ε</w:t>
      </w:r>
      <w:r w:rsidR="002433E2" w:rsidRPr="006E0053">
        <w:rPr>
          <w:sz w:val="22"/>
          <w:szCs w:val="22"/>
          <w:lang w:val="el-GR"/>
        </w:rPr>
        <w:t>κατ. ευρώ τον προηγούμενο μήνα</w:t>
      </w:r>
      <w:r w:rsidR="002433E2" w:rsidRPr="007B1927">
        <w:rPr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</w:t>
      </w:r>
      <w:r w:rsidR="002433E2">
        <w:rPr>
          <w:sz w:val="22"/>
          <w:szCs w:val="22"/>
          <w:lang w:val="el-GR"/>
        </w:rPr>
        <w:t xml:space="preserve">ενώ </w:t>
      </w:r>
      <w:r w:rsidR="002433E2" w:rsidRPr="006E0053">
        <w:rPr>
          <w:sz w:val="22"/>
          <w:szCs w:val="22"/>
          <w:lang w:val="el-GR"/>
        </w:rPr>
        <w:t xml:space="preserve">ο ετήσιος ρυθμός μεταβολής </w:t>
      </w:r>
      <w:r>
        <w:rPr>
          <w:sz w:val="22"/>
          <w:szCs w:val="22"/>
          <w:lang w:val="el-GR"/>
        </w:rPr>
        <w:t>αυξήθηκε σ</w:t>
      </w:r>
      <w:r w:rsidR="002433E2">
        <w:rPr>
          <w:sz w:val="22"/>
          <w:szCs w:val="22"/>
          <w:lang w:val="el-GR"/>
        </w:rPr>
        <w:t xml:space="preserve">ε </w:t>
      </w:r>
      <w:r>
        <w:rPr>
          <w:sz w:val="22"/>
          <w:szCs w:val="22"/>
          <w:lang w:val="el-GR"/>
        </w:rPr>
        <w:t>4,5</w:t>
      </w:r>
      <w:r w:rsidR="002433E2">
        <w:rPr>
          <w:sz w:val="22"/>
          <w:szCs w:val="22"/>
          <w:lang w:val="el-GR"/>
        </w:rPr>
        <w:t xml:space="preserve">% από </w:t>
      </w:r>
      <w:r>
        <w:rPr>
          <w:sz w:val="22"/>
          <w:szCs w:val="22"/>
          <w:lang w:val="el-GR"/>
        </w:rPr>
        <w:t>2,</w:t>
      </w:r>
      <w:r w:rsidR="00297FB8">
        <w:rPr>
          <w:sz w:val="22"/>
          <w:szCs w:val="22"/>
          <w:lang w:val="el-GR"/>
        </w:rPr>
        <w:t>6</w:t>
      </w:r>
      <w:r w:rsidR="002433E2">
        <w:rPr>
          <w:sz w:val="22"/>
          <w:szCs w:val="22"/>
          <w:lang w:val="el-GR"/>
        </w:rPr>
        <w:t xml:space="preserve">% </w:t>
      </w:r>
      <w:r w:rsidR="002433E2" w:rsidRPr="006E0053">
        <w:rPr>
          <w:sz w:val="22"/>
          <w:szCs w:val="22"/>
          <w:lang w:val="el-GR"/>
        </w:rPr>
        <w:t xml:space="preserve">τον προηγούμενο μήνα. </w:t>
      </w:r>
    </w:p>
    <w:p w14:paraId="307CE81B" w14:textId="77777777" w:rsidR="00C47F16" w:rsidRPr="006E0053" w:rsidRDefault="00C47F16" w:rsidP="002433E2">
      <w:pPr>
        <w:keepNext/>
        <w:spacing w:line="360" w:lineRule="auto"/>
        <w:jc w:val="both"/>
        <w:rPr>
          <w:sz w:val="22"/>
          <w:szCs w:val="22"/>
          <w:lang w:val="el-GR"/>
        </w:rPr>
      </w:pPr>
    </w:p>
    <w:p w14:paraId="5695A39E" w14:textId="1B7B0C84" w:rsidR="00106E0C" w:rsidRDefault="00106E0C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5A9BD46E" w14:textId="2C4313CC" w:rsidR="00EF3B8B" w:rsidRDefault="00EF3B8B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245B4CA8" w14:textId="77777777" w:rsidR="00EF3B8B" w:rsidRPr="000D18FB" w:rsidRDefault="00EF3B8B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45B2D311" w14:textId="77777777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ΙΙ.2.1 Καταθέσεις από επιχειρήσεις</w:t>
      </w:r>
    </w:p>
    <w:p w14:paraId="785817E0" w14:textId="64A8EA81" w:rsidR="002433E2" w:rsidRPr="006E0053" w:rsidRDefault="00217871" w:rsidP="002433E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Αύξηση </w:t>
      </w:r>
      <w:r w:rsidR="003551F4">
        <w:rPr>
          <w:sz w:val="22"/>
          <w:szCs w:val="22"/>
          <w:lang w:val="el-GR"/>
        </w:rPr>
        <w:t>κα</w:t>
      </w:r>
      <w:r w:rsidR="002433E2" w:rsidRPr="006E0053">
        <w:rPr>
          <w:sz w:val="22"/>
          <w:szCs w:val="22"/>
          <w:lang w:val="el-GR"/>
        </w:rPr>
        <w:t xml:space="preserve">τά </w:t>
      </w:r>
      <w:r>
        <w:rPr>
          <w:sz w:val="22"/>
          <w:szCs w:val="22"/>
          <w:lang w:val="el-GR"/>
        </w:rPr>
        <w:t>1.581</w:t>
      </w:r>
      <w:r w:rsidR="00440668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παρουσίασαν,</w:t>
      </w:r>
      <w:r w:rsidR="00544B51">
        <w:rPr>
          <w:sz w:val="22"/>
          <w:szCs w:val="22"/>
          <w:lang w:val="el-GR"/>
        </w:rPr>
        <w:t xml:space="preserve"> 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2433E2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του </w:t>
      </w:r>
      <w:r w:rsidR="00AC74AC">
        <w:rPr>
          <w:sz w:val="22"/>
          <w:szCs w:val="22"/>
          <w:lang w:val="el-GR"/>
        </w:rPr>
        <w:t>2023</w:t>
      </w:r>
      <w:r w:rsidR="002433E2" w:rsidRPr="006E0053">
        <w:rPr>
          <w:iCs/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οι καταθέσεις των </w:t>
      </w:r>
      <w:r w:rsidR="002433E2" w:rsidRPr="006E0053">
        <w:rPr>
          <w:iCs/>
          <w:sz w:val="22"/>
          <w:szCs w:val="22"/>
          <w:lang w:val="el-GR"/>
        </w:rPr>
        <w:t xml:space="preserve">επιχειρήσεων, </w:t>
      </w:r>
      <w:r w:rsidR="002433E2" w:rsidRPr="006E0053">
        <w:rPr>
          <w:sz w:val="22"/>
          <w:szCs w:val="22"/>
          <w:lang w:val="el-GR"/>
        </w:rPr>
        <w:t xml:space="preserve">έναντι </w:t>
      </w:r>
      <w:r w:rsidR="00915257">
        <w:rPr>
          <w:sz w:val="22"/>
          <w:szCs w:val="22"/>
          <w:lang w:val="el-GR"/>
        </w:rPr>
        <w:t xml:space="preserve">μείωσης </w:t>
      </w:r>
      <w:r w:rsidR="002433E2" w:rsidRPr="006E0053">
        <w:rPr>
          <w:sz w:val="22"/>
          <w:szCs w:val="22"/>
          <w:lang w:val="el-GR"/>
        </w:rPr>
        <w:t xml:space="preserve">κατά </w:t>
      </w:r>
      <w:r>
        <w:rPr>
          <w:sz w:val="22"/>
          <w:szCs w:val="22"/>
          <w:lang w:val="el-GR"/>
        </w:rPr>
        <w:t>1.255</w:t>
      </w:r>
      <w:r w:rsidR="00A74077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</w:t>
      </w:r>
      <w:r w:rsidR="002433E2" w:rsidRPr="00AD5350">
        <w:rPr>
          <w:sz w:val="22"/>
          <w:szCs w:val="22"/>
          <w:lang w:val="el-GR"/>
        </w:rPr>
        <w:t>,</w:t>
      </w:r>
      <w:r w:rsidR="002433E2">
        <w:rPr>
          <w:sz w:val="22"/>
          <w:szCs w:val="22"/>
          <w:lang w:val="el-GR"/>
        </w:rPr>
        <w:t xml:space="preserve"> ενώ </w:t>
      </w:r>
      <w:r w:rsidR="002433E2" w:rsidRPr="006E0053">
        <w:rPr>
          <w:sz w:val="22"/>
          <w:szCs w:val="22"/>
          <w:lang w:val="el-GR"/>
        </w:rPr>
        <w:t xml:space="preserve">ο ετήσιος ρυθμός μεταβολής </w:t>
      </w:r>
      <w:r>
        <w:rPr>
          <w:sz w:val="22"/>
          <w:szCs w:val="22"/>
          <w:lang w:val="el-GR"/>
        </w:rPr>
        <w:t xml:space="preserve">αυξήθηκε </w:t>
      </w:r>
      <w:r w:rsidR="002433E2" w:rsidRPr="006E0053">
        <w:rPr>
          <w:sz w:val="22"/>
          <w:szCs w:val="22"/>
          <w:lang w:val="el-GR"/>
        </w:rPr>
        <w:t xml:space="preserve">σε </w:t>
      </w:r>
      <w:r>
        <w:rPr>
          <w:sz w:val="22"/>
          <w:szCs w:val="22"/>
          <w:lang w:val="el-GR"/>
        </w:rPr>
        <w:t>7,2</w:t>
      </w:r>
      <w:r w:rsidR="002433E2" w:rsidRPr="006E0053">
        <w:rPr>
          <w:sz w:val="22"/>
          <w:szCs w:val="22"/>
          <w:lang w:val="el-GR"/>
        </w:rPr>
        <w:t xml:space="preserve">% από </w:t>
      </w:r>
      <w:r>
        <w:rPr>
          <w:sz w:val="22"/>
          <w:szCs w:val="22"/>
          <w:lang w:val="el-GR"/>
        </w:rPr>
        <w:t>0,</w:t>
      </w:r>
      <w:r w:rsidR="00297FB8">
        <w:rPr>
          <w:sz w:val="22"/>
          <w:szCs w:val="22"/>
          <w:lang w:val="el-GR"/>
        </w:rPr>
        <w:t>6</w:t>
      </w:r>
      <w:r w:rsidR="002433E2" w:rsidRPr="006E0053">
        <w:rPr>
          <w:sz w:val="22"/>
          <w:szCs w:val="22"/>
          <w:lang w:val="el-GR"/>
        </w:rPr>
        <w:t xml:space="preserve">% τον προηγούμενο μήνα. Ειδικότερα, οι καταθέσεις των </w:t>
      </w:r>
      <w:r w:rsidR="002433E2">
        <w:rPr>
          <w:sz w:val="22"/>
          <w:szCs w:val="22"/>
          <w:lang w:val="en-US"/>
        </w:rPr>
        <w:t>MXE</w:t>
      </w:r>
      <w:r w:rsidR="002433E2" w:rsidRPr="008D6CC9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αυξήθηκαν </w:t>
      </w:r>
      <w:r w:rsidR="002433E2" w:rsidRPr="006E0053">
        <w:rPr>
          <w:sz w:val="22"/>
          <w:szCs w:val="22"/>
          <w:lang w:val="el-GR"/>
        </w:rPr>
        <w:t xml:space="preserve">κατά </w:t>
      </w:r>
      <w:r>
        <w:rPr>
          <w:sz w:val="22"/>
          <w:szCs w:val="22"/>
          <w:lang w:val="el-GR"/>
        </w:rPr>
        <w:t>2.180</w:t>
      </w:r>
      <w:r w:rsidR="009F082F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εκατ. ευρώ, έναντι </w:t>
      </w:r>
      <w:r w:rsidR="00915257">
        <w:rPr>
          <w:sz w:val="22"/>
          <w:szCs w:val="22"/>
          <w:lang w:val="el-GR"/>
        </w:rPr>
        <w:t xml:space="preserve">μείωσης </w:t>
      </w:r>
      <w:r w:rsidR="002433E2" w:rsidRPr="006E0053">
        <w:rPr>
          <w:sz w:val="22"/>
          <w:szCs w:val="22"/>
          <w:lang w:val="el-GR"/>
        </w:rPr>
        <w:t xml:space="preserve">κατά </w:t>
      </w:r>
      <w:r>
        <w:rPr>
          <w:sz w:val="22"/>
          <w:szCs w:val="22"/>
          <w:lang w:val="el-GR"/>
        </w:rPr>
        <w:t>1.425</w:t>
      </w:r>
      <w:r w:rsidR="00AA3D18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</w:t>
      </w:r>
      <w:r w:rsidR="002433E2" w:rsidRPr="00307DEC">
        <w:rPr>
          <w:sz w:val="22"/>
          <w:szCs w:val="22"/>
          <w:lang w:val="el-GR"/>
        </w:rPr>
        <w:t>.</w:t>
      </w:r>
      <w:r w:rsidR="002433E2" w:rsidRPr="006E0053">
        <w:rPr>
          <w:sz w:val="22"/>
          <w:szCs w:val="22"/>
          <w:lang w:val="el-GR"/>
        </w:rPr>
        <w:t xml:space="preserve"> </w:t>
      </w:r>
      <w:r w:rsidR="002433E2">
        <w:rPr>
          <w:sz w:val="22"/>
          <w:szCs w:val="22"/>
          <w:lang w:val="el-GR"/>
        </w:rPr>
        <w:t>Ο</w:t>
      </w:r>
      <w:r w:rsidR="002433E2" w:rsidRPr="006E0053">
        <w:rPr>
          <w:sz w:val="22"/>
          <w:szCs w:val="22"/>
          <w:lang w:val="el-GR"/>
        </w:rPr>
        <w:t xml:space="preserve">ι καταθέσεις των ασφαλιστικών επιχειρήσεων και των λοιπών χρηματοπιστωτικών ιδρυμάτων </w:t>
      </w:r>
      <w:r>
        <w:rPr>
          <w:sz w:val="22"/>
          <w:szCs w:val="22"/>
          <w:lang w:val="el-GR"/>
        </w:rPr>
        <w:t xml:space="preserve">μειώθηκαν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D81E10">
        <w:rPr>
          <w:sz w:val="22"/>
          <w:szCs w:val="22"/>
          <w:lang w:val="el-GR"/>
        </w:rPr>
        <w:t>600</w:t>
      </w:r>
      <w:r w:rsidR="00E66343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εκατ. ευρώ, έναντι </w:t>
      </w:r>
      <w:r w:rsidR="00915257">
        <w:rPr>
          <w:sz w:val="22"/>
          <w:szCs w:val="22"/>
          <w:lang w:val="el-GR"/>
        </w:rPr>
        <w:t xml:space="preserve">αύξησης </w:t>
      </w:r>
      <w:r w:rsidR="002433E2">
        <w:rPr>
          <w:sz w:val="22"/>
          <w:szCs w:val="22"/>
          <w:lang w:val="el-GR"/>
        </w:rPr>
        <w:t xml:space="preserve">κατά </w:t>
      </w:r>
      <w:r w:rsidR="00D81E10">
        <w:rPr>
          <w:sz w:val="22"/>
          <w:szCs w:val="22"/>
          <w:lang w:val="el-GR"/>
        </w:rPr>
        <w:t>171</w:t>
      </w:r>
      <w:r w:rsidR="002433E2" w:rsidRPr="006E0053">
        <w:rPr>
          <w:sz w:val="22"/>
          <w:szCs w:val="22"/>
          <w:lang w:val="el-GR"/>
        </w:rPr>
        <w:t xml:space="preserve"> εκατ. ευρώ τον προηγούμενο μήνα.</w:t>
      </w:r>
    </w:p>
    <w:p w14:paraId="6698F15F" w14:textId="77777777" w:rsidR="00106E0C" w:rsidRPr="000D18FB" w:rsidRDefault="00106E0C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1470B33D" w14:textId="77777777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ΙΙ.2.2 Καταθέσεις από νοικοκυριά και ιδιωτικά μη κερδοσκοπικά ιδρύματα</w:t>
      </w:r>
    </w:p>
    <w:p w14:paraId="4298E9F3" w14:textId="0AA6B2D0" w:rsidR="002433E2" w:rsidRPr="006E0053" w:rsidRDefault="005947CF" w:rsidP="002433E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lastRenderedPageBreak/>
        <w:t xml:space="preserve">Αύξηση </w:t>
      </w:r>
      <w:r w:rsidR="002433E2" w:rsidRPr="006E0053">
        <w:rPr>
          <w:sz w:val="22"/>
          <w:szCs w:val="22"/>
          <w:lang w:val="el-GR"/>
        </w:rPr>
        <w:t xml:space="preserve">κατά </w:t>
      </w:r>
      <w:r>
        <w:rPr>
          <w:sz w:val="22"/>
          <w:szCs w:val="22"/>
          <w:lang w:val="el-GR"/>
        </w:rPr>
        <w:t>738</w:t>
      </w:r>
      <w:r w:rsidR="000D04D6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παρουσίασαν,</w:t>
      </w:r>
      <w:r w:rsidR="00B57624">
        <w:rPr>
          <w:sz w:val="22"/>
          <w:szCs w:val="22"/>
          <w:lang w:val="el-GR"/>
        </w:rPr>
        <w:t xml:space="preserve"> </w:t>
      </w:r>
      <w:r w:rsidR="000B7060">
        <w:rPr>
          <w:sz w:val="22"/>
          <w:szCs w:val="22"/>
          <w:lang w:val="el-GR"/>
        </w:rPr>
        <w:t xml:space="preserve">το </w:t>
      </w:r>
      <w:r w:rsidR="00B60149">
        <w:rPr>
          <w:sz w:val="22"/>
          <w:szCs w:val="22"/>
          <w:lang w:val="el-GR"/>
        </w:rPr>
        <w:t>Μάρτιο</w:t>
      </w:r>
      <w:r w:rsidR="002433E2">
        <w:rPr>
          <w:sz w:val="22"/>
          <w:szCs w:val="22"/>
          <w:lang w:val="el-GR"/>
        </w:rPr>
        <w:t xml:space="preserve"> του </w:t>
      </w:r>
      <w:r w:rsidR="00AC74AC">
        <w:rPr>
          <w:sz w:val="22"/>
          <w:szCs w:val="22"/>
          <w:lang w:val="el-GR"/>
        </w:rPr>
        <w:t>2023</w:t>
      </w:r>
      <w:r w:rsidR="002433E2" w:rsidRPr="006E0053">
        <w:rPr>
          <w:iCs/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οι καταθέσεις των νοικοκυριών και των ιδιωτικών μη κερδοσκοπικών ιδρυμάτων, έναντι </w:t>
      </w:r>
      <w:r w:rsidR="00943502">
        <w:rPr>
          <w:sz w:val="22"/>
          <w:szCs w:val="22"/>
          <w:lang w:val="el-GR"/>
        </w:rPr>
        <w:t xml:space="preserve">μείωσης </w:t>
      </w:r>
      <w:r w:rsidR="002433E2" w:rsidRPr="006E0053">
        <w:rPr>
          <w:sz w:val="22"/>
          <w:szCs w:val="22"/>
          <w:lang w:val="el-GR"/>
        </w:rPr>
        <w:t xml:space="preserve">κατά </w:t>
      </w:r>
      <w:r>
        <w:rPr>
          <w:sz w:val="22"/>
          <w:szCs w:val="22"/>
          <w:lang w:val="el-GR"/>
        </w:rPr>
        <w:t>202</w:t>
      </w:r>
      <w:r w:rsidR="00EF1E9A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</w:t>
      </w:r>
      <w:r w:rsidR="002433E2" w:rsidRPr="00E72759">
        <w:rPr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</w:t>
      </w:r>
      <w:r w:rsidR="002433E2">
        <w:rPr>
          <w:sz w:val="22"/>
          <w:szCs w:val="22"/>
          <w:lang w:val="el-GR"/>
        </w:rPr>
        <w:t>ενώ</w:t>
      </w:r>
      <w:r w:rsidR="002433E2" w:rsidRPr="006E0053">
        <w:rPr>
          <w:sz w:val="22"/>
          <w:szCs w:val="22"/>
          <w:lang w:val="el-GR"/>
        </w:rPr>
        <w:t xml:space="preserve"> </w:t>
      </w:r>
      <w:r w:rsidR="002433E2" w:rsidRPr="006E0053">
        <w:rPr>
          <w:iCs/>
          <w:sz w:val="22"/>
          <w:szCs w:val="22"/>
          <w:lang w:val="el-GR"/>
        </w:rPr>
        <w:t xml:space="preserve">ο ετήσιος ρυθμός μεταβολής </w:t>
      </w:r>
      <w:r w:rsidR="00C61B21">
        <w:rPr>
          <w:iCs/>
          <w:sz w:val="22"/>
          <w:szCs w:val="22"/>
          <w:lang w:val="el-GR"/>
        </w:rPr>
        <w:t>αυξήθηκε σε</w:t>
      </w:r>
      <w:r w:rsidR="00943502">
        <w:rPr>
          <w:iCs/>
          <w:sz w:val="22"/>
          <w:szCs w:val="22"/>
          <w:lang w:val="el-GR"/>
        </w:rPr>
        <w:t xml:space="preserve"> </w:t>
      </w:r>
      <w:r w:rsidR="00DB6E03">
        <w:rPr>
          <w:iCs/>
          <w:sz w:val="22"/>
          <w:szCs w:val="22"/>
          <w:lang w:val="el-GR"/>
        </w:rPr>
        <w:t>3,</w:t>
      </w:r>
      <w:r w:rsidR="00943502">
        <w:rPr>
          <w:iCs/>
          <w:sz w:val="22"/>
          <w:szCs w:val="22"/>
          <w:lang w:val="el-GR"/>
        </w:rPr>
        <w:t>6</w:t>
      </w:r>
      <w:r w:rsidR="00DB6E03">
        <w:rPr>
          <w:iCs/>
          <w:sz w:val="22"/>
          <w:szCs w:val="22"/>
          <w:lang w:val="el-GR"/>
        </w:rPr>
        <w:t xml:space="preserve">% </w:t>
      </w:r>
      <w:r w:rsidR="00C61B21">
        <w:rPr>
          <w:iCs/>
          <w:sz w:val="22"/>
          <w:szCs w:val="22"/>
          <w:lang w:val="el-GR"/>
        </w:rPr>
        <w:t>από 3,2%</w:t>
      </w:r>
      <w:r>
        <w:rPr>
          <w:iCs/>
          <w:sz w:val="22"/>
          <w:szCs w:val="22"/>
          <w:lang w:val="el-GR"/>
        </w:rPr>
        <w:t xml:space="preserve"> τον </w:t>
      </w:r>
      <w:r w:rsidR="00AA3D18">
        <w:rPr>
          <w:iCs/>
          <w:sz w:val="22"/>
          <w:szCs w:val="22"/>
          <w:lang w:val="el-GR"/>
        </w:rPr>
        <w:t>προηγούμενο μήνα</w:t>
      </w:r>
      <w:r w:rsidR="00FB5141">
        <w:rPr>
          <w:iCs/>
          <w:sz w:val="22"/>
          <w:szCs w:val="22"/>
          <w:lang w:val="el-GR"/>
        </w:rPr>
        <w:t>.</w:t>
      </w:r>
    </w:p>
    <w:p w14:paraId="7F53F15B" w14:textId="77777777" w:rsidR="00CF18E7" w:rsidRPr="003C683E" w:rsidRDefault="00CF18E7" w:rsidP="00106E0C">
      <w:pPr>
        <w:spacing w:line="360" w:lineRule="auto"/>
        <w:jc w:val="both"/>
        <w:rPr>
          <w:sz w:val="6"/>
          <w:szCs w:val="6"/>
          <w:lang w:val="el-GR"/>
        </w:rPr>
      </w:pPr>
    </w:p>
    <w:p w14:paraId="20A4F01C" w14:textId="77777777" w:rsidR="008F134F" w:rsidRDefault="008F134F" w:rsidP="00106E0C">
      <w:pPr>
        <w:spacing w:line="360" w:lineRule="auto"/>
        <w:jc w:val="both"/>
        <w:rPr>
          <w:b/>
          <w:color w:val="auto"/>
          <w:sz w:val="22"/>
          <w:szCs w:val="22"/>
          <w:u w:val="single"/>
          <w:lang w:val="el-GR"/>
        </w:rPr>
      </w:pPr>
    </w:p>
    <w:p w14:paraId="525F2758" w14:textId="06F92FA1" w:rsidR="00CF18E7" w:rsidRPr="00630444" w:rsidRDefault="00CF18E7" w:rsidP="00106E0C">
      <w:pPr>
        <w:spacing w:line="360" w:lineRule="auto"/>
        <w:jc w:val="both"/>
        <w:rPr>
          <w:sz w:val="22"/>
          <w:szCs w:val="22"/>
          <w:lang w:val="el-GR"/>
        </w:rPr>
      </w:pPr>
      <w:r w:rsidRPr="002B3BD4">
        <w:rPr>
          <w:b/>
          <w:color w:val="auto"/>
          <w:sz w:val="22"/>
          <w:szCs w:val="22"/>
          <w:u w:val="single"/>
          <w:lang w:val="el-GR"/>
        </w:rPr>
        <w:t>Σημειώσεις</w:t>
      </w:r>
      <w:r w:rsidR="00630444">
        <w:rPr>
          <w:color w:val="002060"/>
          <w:sz w:val="22"/>
          <w:szCs w:val="22"/>
          <w:lang w:val="el-GR"/>
        </w:rPr>
        <w:t>:</w:t>
      </w:r>
    </w:p>
    <w:p w14:paraId="27753B67" w14:textId="77777777" w:rsidR="005B7C70" w:rsidRDefault="005B7C70" w:rsidP="001914E2">
      <w:pPr>
        <w:pStyle w:val="EndnoteText"/>
        <w:numPr>
          <w:ilvl w:val="0"/>
          <w:numId w:val="7"/>
        </w:numPr>
        <w:spacing w:line="360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Στη γενική κυβέρνηση περιλαμβάνονται η κεντρική κυβέρνηση, </w:t>
      </w:r>
      <w:r w:rsidRPr="005B7C70">
        <w:rPr>
          <w:sz w:val="22"/>
          <w:szCs w:val="22"/>
          <w:lang w:val="el-GR"/>
        </w:rPr>
        <w:t>οι Οργανισμοί Τοπικής Αυτοδιοίκησης και οι Οργανισμοί Κοινωνικής Ασφάλισης.</w:t>
      </w:r>
    </w:p>
    <w:p w14:paraId="5774AF7D" w14:textId="77777777" w:rsidR="005B7C70" w:rsidRDefault="005B7C70" w:rsidP="001914E2">
      <w:pPr>
        <w:pStyle w:val="EndnoteText"/>
        <w:numPr>
          <w:ilvl w:val="0"/>
          <w:numId w:val="7"/>
        </w:numPr>
        <w:spacing w:line="360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Στις καταθέσεις περιλαμβάνονται και τα ρέπος.</w:t>
      </w:r>
    </w:p>
    <w:p w14:paraId="327D3CC8" w14:textId="77777777" w:rsidR="00746A95" w:rsidRDefault="005B7C70" w:rsidP="001914E2">
      <w:pPr>
        <w:pStyle w:val="EndnoteText"/>
        <w:numPr>
          <w:ilvl w:val="0"/>
          <w:numId w:val="7"/>
        </w:numPr>
        <w:spacing w:line="360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Στα εγχώρια πιστωτικά ιδρύματα δεν περιλαμβάνεται η Τράπεζα της Ελλάδος</w:t>
      </w:r>
      <w:r w:rsidR="00F30CEF" w:rsidRPr="002433E2">
        <w:rPr>
          <w:sz w:val="22"/>
          <w:szCs w:val="22"/>
          <w:lang w:val="el-GR"/>
        </w:rPr>
        <w:t>.</w:t>
      </w:r>
    </w:p>
    <w:p w14:paraId="09918D7D" w14:textId="77777777" w:rsidR="00335CB4" w:rsidRPr="00335CB4" w:rsidRDefault="00335CB4" w:rsidP="003C683E">
      <w:pPr>
        <w:spacing w:before="240"/>
        <w:jc w:val="both"/>
        <w:rPr>
          <w:sz w:val="22"/>
          <w:szCs w:val="22"/>
          <w:lang w:val="el-GR"/>
        </w:rPr>
      </w:pPr>
      <w:r w:rsidRPr="001914E2" w:rsidDel="00A7688B">
        <w:rPr>
          <w:b/>
          <w:sz w:val="22"/>
          <w:szCs w:val="22"/>
          <w:u w:val="single"/>
          <w:lang w:val="el-GR"/>
        </w:rPr>
        <w:t>Περισσότερες πληροφορίες</w:t>
      </w:r>
      <w:r>
        <w:rPr>
          <w:sz w:val="22"/>
          <w:szCs w:val="22"/>
          <w:lang w:val="el-GR"/>
        </w:rPr>
        <w:t>:</w:t>
      </w:r>
    </w:p>
    <w:p w14:paraId="2FEDBD2B" w14:textId="29085B95" w:rsidR="00C93035" w:rsidRDefault="002433E2" w:rsidP="002433E2">
      <w:pPr>
        <w:spacing w:before="240" w:line="360" w:lineRule="auto"/>
        <w:jc w:val="both"/>
        <w:rPr>
          <w:rStyle w:val="Hyperlink"/>
          <w:color w:val="auto"/>
          <w:sz w:val="22"/>
          <w:szCs w:val="22"/>
          <w:lang w:val="el-GR"/>
        </w:rPr>
      </w:pPr>
      <w:r w:rsidRPr="006E0053">
        <w:rPr>
          <w:sz w:val="22"/>
          <w:szCs w:val="22"/>
          <w:lang w:val="el-GR"/>
        </w:rPr>
        <w:t>Το επόμενο Δελτίο Τύπου με θέμα: «Τρα</w:t>
      </w:r>
      <w:r w:rsidRPr="00ED44D5">
        <w:rPr>
          <w:sz w:val="22"/>
          <w:szCs w:val="22"/>
          <w:lang w:val="el-GR"/>
        </w:rPr>
        <w:t>πε</w:t>
      </w:r>
      <w:r w:rsidRPr="006E0053">
        <w:rPr>
          <w:sz w:val="22"/>
          <w:szCs w:val="22"/>
          <w:lang w:val="el-GR"/>
        </w:rPr>
        <w:t xml:space="preserve">ζική χρηματοδότηση και καταθέσεις» με στοιχεία </w:t>
      </w:r>
      <w:r w:rsidR="00297FB8">
        <w:rPr>
          <w:sz w:val="22"/>
          <w:szCs w:val="22"/>
          <w:lang w:val="el-GR"/>
        </w:rPr>
        <w:t xml:space="preserve">Απριλίου </w:t>
      </w:r>
      <w:r>
        <w:rPr>
          <w:sz w:val="22"/>
          <w:szCs w:val="22"/>
          <w:lang w:val="el-GR"/>
        </w:rPr>
        <w:t>202</w:t>
      </w:r>
      <w:r w:rsidR="0003243D">
        <w:rPr>
          <w:sz w:val="22"/>
          <w:szCs w:val="22"/>
          <w:lang w:val="el-GR"/>
        </w:rPr>
        <w:t>3</w:t>
      </w:r>
      <w:r>
        <w:rPr>
          <w:sz w:val="22"/>
          <w:szCs w:val="22"/>
          <w:lang w:val="el-GR"/>
        </w:rPr>
        <w:t xml:space="preserve"> θα δημοσιευθεί στις </w:t>
      </w:r>
      <w:r w:rsidR="00297FB8">
        <w:rPr>
          <w:sz w:val="22"/>
          <w:szCs w:val="22"/>
          <w:lang w:val="el-GR"/>
        </w:rPr>
        <w:t>30</w:t>
      </w:r>
      <w:r w:rsidR="006F72CA">
        <w:rPr>
          <w:sz w:val="22"/>
          <w:szCs w:val="22"/>
          <w:lang w:val="el-GR"/>
        </w:rPr>
        <w:t xml:space="preserve"> </w:t>
      </w:r>
      <w:r w:rsidR="005B76F3">
        <w:rPr>
          <w:sz w:val="22"/>
          <w:szCs w:val="22"/>
          <w:lang w:val="el-GR"/>
        </w:rPr>
        <w:t xml:space="preserve">Μαΐου </w:t>
      </w:r>
      <w:r>
        <w:rPr>
          <w:sz w:val="22"/>
          <w:szCs w:val="22"/>
          <w:lang w:val="el-GR"/>
        </w:rPr>
        <w:t>202</w:t>
      </w:r>
      <w:r w:rsidR="00342E32">
        <w:rPr>
          <w:sz w:val="22"/>
          <w:szCs w:val="22"/>
          <w:lang w:val="el-GR"/>
        </w:rPr>
        <w:t>3</w:t>
      </w:r>
      <w:r w:rsidRPr="006E0053">
        <w:rPr>
          <w:sz w:val="22"/>
          <w:szCs w:val="22"/>
          <w:lang w:val="el-GR"/>
        </w:rPr>
        <w:t>, σύμφωνα με τ</w:t>
      </w:r>
      <w:r w:rsidR="00EC5A86" w:rsidRPr="00BE47C2">
        <w:rPr>
          <w:sz w:val="22"/>
          <w:szCs w:val="22"/>
          <w:lang w:val="el-GR"/>
        </w:rPr>
        <w:t>ο</w:t>
      </w:r>
      <w:r w:rsidRPr="006E0053">
        <w:rPr>
          <w:sz w:val="22"/>
          <w:szCs w:val="22"/>
          <w:lang w:val="el-GR"/>
        </w:rPr>
        <w:t xml:space="preserve"> </w:t>
      </w:r>
      <w:hyperlink r:id="rId9" w:history="1">
        <w:r w:rsidRPr="00ED44D5">
          <w:rPr>
            <w:rStyle w:val="Hyperlink"/>
            <w:sz w:val="22"/>
            <w:szCs w:val="22"/>
            <w:lang w:val="el-GR"/>
          </w:rPr>
          <w:t>Ημερολόγι</w:t>
        </w:r>
        <w:r w:rsidR="00EC5A86" w:rsidRPr="00ED44D5">
          <w:rPr>
            <w:rStyle w:val="Hyperlink"/>
            <w:sz w:val="22"/>
            <w:szCs w:val="22"/>
            <w:lang w:val="el-GR"/>
          </w:rPr>
          <w:t>ο</w:t>
        </w:r>
        <w:r w:rsidRPr="00ED44D5">
          <w:rPr>
            <w:rStyle w:val="Hyperlink"/>
            <w:sz w:val="22"/>
            <w:szCs w:val="22"/>
            <w:lang w:val="el-GR"/>
          </w:rPr>
          <w:t xml:space="preserve"> δημοσίευσης</w:t>
        </w:r>
      </w:hyperlink>
      <w:r w:rsidRPr="006E0053">
        <w:rPr>
          <w:sz w:val="22"/>
          <w:szCs w:val="22"/>
          <w:lang w:val="el-GR"/>
        </w:rPr>
        <w:t xml:space="preserve"> των στοιχείων, που έχ</w:t>
      </w:r>
      <w:r w:rsidR="00EC5A86" w:rsidRPr="00BE47C2">
        <w:rPr>
          <w:sz w:val="22"/>
          <w:szCs w:val="22"/>
          <w:lang w:val="el-GR"/>
        </w:rPr>
        <w:t>ει</w:t>
      </w:r>
      <w:r w:rsidRPr="006E0053">
        <w:rPr>
          <w:sz w:val="22"/>
          <w:szCs w:val="22"/>
          <w:lang w:val="el-GR"/>
        </w:rPr>
        <w:t xml:space="preserve"> αναρτηθεί στο</w:t>
      </w:r>
      <w:r>
        <w:rPr>
          <w:sz w:val="22"/>
          <w:szCs w:val="22"/>
          <w:lang w:val="el-GR"/>
        </w:rPr>
        <w:t>ν ιστοχώρο</w:t>
      </w:r>
      <w:r w:rsidRPr="006E0053">
        <w:rPr>
          <w:sz w:val="22"/>
          <w:szCs w:val="22"/>
          <w:lang w:val="el-GR"/>
        </w:rPr>
        <w:t xml:space="preserve"> της Τράπεζας της Ελλάδος</w:t>
      </w:r>
      <w:r w:rsidR="00E23571" w:rsidRPr="00E23571">
        <w:rPr>
          <w:rStyle w:val="Hyperlink"/>
          <w:color w:val="auto"/>
          <w:sz w:val="22"/>
          <w:szCs w:val="22"/>
          <w:u w:val="none"/>
          <w:lang w:val="el-GR"/>
        </w:rPr>
        <w:t>.</w:t>
      </w:r>
    </w:p>
    <w:p w14:paraId="619358E2" w14:textId="77777777" w:rsidR="00B05559" w:rsidRDefault="00B05559" w:rsidP="00362D81">
      <w:pPr>
        <w:rPr>
          <w:b/>
          <w:sz w:val="22"/>
          <w:szCs w:val="22"/>
          <w:u w:val="single"/>
          <w:lang w:val="el-GR"/>
        </w:rPr>
      </w:pPr>
    </w:p>
    <w:p w14:paraId="73DA6E0D" w14:textId="0ABF224B" w:rsidR="00362D81" w:rsidRPr="00362D81" w:rsidRDefault="00362D81" w:rsidP="00362D81">
      <w:pPr>
        <w:rPr>
          <w:sz w:val="22"/>
          <w:szCs w:val="22"/>
          <w:lang w:val="el-GR"/>
        </w:rPr>
      </w:pPr>
      <w:r w:rsidRPr="001914E2">
        <w:rPr>
          <w:b/>
          <w:sz w:val="22"/>
          <w:szCs w:val="22"/>
          <w:u w:val="single"/>
          <w:lang w:val="el-GR"/>
        </w:rPr>
        <w:t>Σχετικοί σύνδεσμοι</w:t>
      </w:r>
      <w:r w:rsidRPr="00362D81">
        <w:rPr>
          <w:sz w:val="22"/>
          <w:szCs w:val="22"/>
          <w:lang w:val="el-GR"/>
        </w:rPr>
        <w:t>:</w:t>
      </w:r>
    </w:p>
    <w:p w14:paraId="7035A0D0" w14:textId="73E0A3CE" w:rsidR="00362D81" w:rsidRPr="00362D81" w:rsidRDefault="00123216" w:rsidP="00362D81">
      <w:pPr>
        <w:spacing w:before="240" w:line="360" w:lineRule="auto"/>
        <w:jc w:val="both"/>
        <w:rPr>
          <w:sz w:val="22"/>
          <w:szCs w:val="22"/>
          <w:lang w:val="el-GR"/>
        </w:rPr>
      </w:pPr>
      <w:hyperlink r:id="rId10" w:history="1">
        <w:r w:rsidR="00362D81" w:rsidRPr="00362D81">
          <w:rPr>
            <w:color w:val="0000FF"/>
            <w:sz w:val="22"/>
            <w:szCs w:val="22"/>
            <w:u w:val="single"/>
            <w:lang w:val="el-GR"/>
          </w:rPr>
          <w:t>Τραπεζική χρηματοδότηση</w:t>
        </w:r>
      </w:hyperlink>
    </w:p>
    <w:p w14:paraId="1A65096F" w14:textId="248AC79F" w:rsidR="00362D81" w:rsidRPr="0068536A" w:rsidRDefault="00123216" w:rsidP="002433E2">
      <w:pPr>
        <w:spacing w:before="240" w:line="360" w:lineRule="auto"/>
        <w:jc w:val="both"/>
        <w:rPr>
          <w:sz w:val="22"/>
          <w:szCs w:val="22"/>
          <w:lang w:val="el-GR"/>
        </w:rPr>
      </w:pPr>
      <w:hyperlink r:id="rId11" w:history="1">
        <w:r w:rsidR="00362D81" w:rsidRPr="00362D81">
          <w:rPr>
            <w:color w:val="0000FF"/>
            <w:sz w:val="22"/>
            <w:szCs w:val="22"/>
            <w:u w:val="single"/>
            <w:lang w:val="el-GR"/>
          </w:rPr>
          <w:t>Καταθέσεις</w:t>
        </w:r>
      </w:hyperlink>
    </w:p>
    <w:sectPr w:rsidR="00362D81" w:rsidRPr="0068536A" w:rsidSect="00FF5D14">
      <w:footerReference w:type="default" r:id="rId12"/>
      <w:footerReference w:type="first" r:id="rId13"/>
      <w:pgSz w:w="11906" w:h="16838"/>
      <w:pgMar w:top="1276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1ED4" w14:textId="77777777" w:rsidR="00A84F66" w:rsidRDefault="00A84F66">
      <w:r>
        <w:separator/>
      </w:r>
    </w:p>
  </w:endnote>
  <w:endnote w:type="continuationSeparator" w:id="0">
    <w:p w14:paraId="1E05EE32" w14:textId="77777777" w:rsidR="00A84F66" w:rsidRDefault="00A8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46BAD" w14:textId="77777777" w:rsidR="00906441" w:rsidRDefault="00614A99" w:rsidP="006F37D0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783395E0" w14:textId="77777777" w:rsidR="00766A4F" w:rsidRPr="00614A99" w:rsidRDefault="00766A4F" w:rsidP="00766A4F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766A4F" w:rsidRPr="00766A4F" w14:paraId="25C344C8" w14:textId="77777777" w:rsidTr="00F26854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6E099DE5" w14:textId="77777777" w:rsidR="006B5E1E" w:rsidRDefault="006B5E1E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79F97172" w14:textId="77777777" w:rsidR="005A31A0" w:rsidRDefault="005A31A0" w:rsidP="005A31A0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Τηλ</w:t>
          </w:r>
          <w:r w:rsidRPr="00EA5B3F">
            <w:rPr>
              <w:rFonts w:ascii="Arial" w:hAnsi="Arial" w:cs="Arial"/>
              <w:sz w:val="14"/>
              <w:lang w:val="el-GR"/>
            </w:rPr>
            <w:t>:</w:t>
          </w:r>
          <w:r w:rsidRPr="005B1F16">
            <w:rPr>
              <w:rFonts w:ascii="Arial" w:hAnsi="Arial" w:cs="Arial"/>
              <w:sz w:val="14"/>
              <w:lang w:val="el-GR"/>
            </w:rPr>
            <w:t xml:space="preserve"> 210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320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3446-8</w:t>
          </w:r>
        </w:p>
        <w:p w14:paraId="20CDBD34" w14:textId="760A26F1" w:rsidR="00766A4F" w:rsidRDefault="00123216" w:rsidP="005A31A0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hyperlink r:id="rId1" w:history="1">
            <w:r w:rsidR="005A31A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 w:rsidR="005A31A0"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 w:rsidR="005A31A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="005A31A0"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="005A31A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="005A31A0">
            <w:rPr>
              <w:rFonts w:ascii="Arial" w:hAnsi="Arial" w:cs="Arial"/>
              <w:sz w:val="14"/>
              <w:lang w:val="el-GR"/>
            </w:rPr>
            <w:t xml:space="preserve"> | </w:t>
          </w:r>
          <w:r w:rsidR="005A31A0" w:rsidRPr="006B5E1E">
            <w:rPr>
              <w:rFonts w:ascii="Arial" w:hAnsi="Arial" w:cs="Arial"/>
              <w:sz w:val="14"/>
              <w:lang w:val="el-GR"/>
            </w:rPr>
            <w:t xml:space="preserve"> </w:t>
          </w:r>
          <w:hyperlink r:id="rId2" w:history="1">
            <w:r w:rsidR="005A31A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 w:rsidR="005A31A0"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="005A31A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="005A31A0"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="005A31A0"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="00184CB0" w:rsidRPr="006B5E1E">
            <w:rPr>
              <w:rFonts w:ascii="Arial" w:hAnsi="Arial" w:cs="Arial"/>
              <w:sz w:val="14"/>
              <w:lang w:val="el-GR"/>
            </w:rPr>
            <w:t xml:space="preserve"> </w:t>
          </w:r>
        </w:p>
      </w:tc>
      <w:tc>
        <w:tcPr>
          <w:tcW w:w="4581" w:type="dxa"/>
          <w:shd w:val="clear" w:color="auto" w:fill="auto"/>
        </w:tcPr>
        <w:p w14:paraId="0FE02A4B" w14:textId="091CAF96" w:rsidR="00766A4F" w:rsidRPr="00184CB0" w:rsidRDefault="00766A4F" w:rsidP="00766A4F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123216">
            <w:rPr>
              <w:rFonts w:ascii="Arial" w:hAnsi="Arial" w:cs="Arial"/>
              <w:noProof/>
              <w:color w:val="auto"/>
              <w:sz w:val="18"/>
              <w:lang w:val="en-US"/>
            </w:rPr>
            <w:t>1</w:t>
          </w:r>
          <w:r w:rsidRPr="006F37D0"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 w:rsidR="00184CB0"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 w:rsidR="00184CB0" w:rsidRPr="00D929F5"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4F3275B6" w14:textId="77777777" w:rsidR="00906441" w:rsidRDefault="00906441" w:rsidP="006F37D0">
    <w:pPr>
      <w:pStyle w:val="Footer"/>
      <w:ind w:right="36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4215" w14:textId="77777777" w:rsidR="00906441" w:rsidRDefault="00906441">
    <w:pPr>
      <w:pStyle w:val="Footer"/>
      <w:rPr>
        <w:sz w:val="20"/>
        <w:lang w:val="de-DE"/>
      </w:rPr>
    </w:pPr>
  </w:p>
  <w:p w14:paraId="4723E6A9" w14:textId="77777777" w:rsidR="00906441" w:rsidRDefault="00906441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B942" w14:textId="77777777" w:rsidR="00A84F66" w:rsidRDefault="00A84F66">
      <w:r>
        <w:separator/>
      </w:r>
    </w:p>
  </w:footnote>
  <w:footnote w:type="continuationSeparator" w:id="0">
    <w:p w14:paraId="78F4B99F" w14:textId="77777777" w:rsidR="00A84F66" w:rsidRDefault="00A8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4FC"/>
    <w:multiLevelType w:val="hybridMultilevel"/>
    <w:tmpl w:val="5B202C3E"/>
    <w:lvl w:ilvl="0" w:tplc="985C9B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EA01A2"/>
    <w:multiLevelType w:val="hybridMultilevel"/>
    <w:tmpl w:val="8D22B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606F"/>
    <w:multiLevelType w:val="hybridMultilevel"/>
    <w:tmpl w:val="B5B20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7F4D"/>
    <w:multiLevelType w:val="hybridMultilevel"/>
    <w:tmpl w:val="E4D8B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27C3E"/>
    <w:multiLevelType w:val="hybridMultilevel"/>
    <w:tmpl w:val="2DB4C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C082B"/>
    <w:multiLevelType w:val="hybridMultilevel"/>
    <w:tmpl w:val="3488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4A"/>
    <w:rsid w:val="00001653"/>
    <w:rsid w:val="00005EF8"/>
    <w:rsid w:val="00005FE7"/>
    <w:rsid w:val="000136FA"/>
    <w:rsid w:val="00014ACC"/>
    <w:rsid w:val="00014D4F"/>
    <w:rsid w:val="00017545"/>
    <w:rsid w:val="00017576"/>
    <w:rsid w:val="00022F02"/>
    <w:rsid w:val="000272CF"/>
    <w:rsid w:val="00027AA9"/>
    <w:rsid w:val="000304B7"/>
    <w:rsid w:val="0003243D"/>
    <w:rsid w:val="0003296A"/>
    <w:rsid w:val="000342E1"/>
    <w:rsid w:val="000364D2"/>
    <w:rsid w:val="00037147"/>
    <w:rsid w:val="00043187"/>
    <w:rsid w:val="00044C8F"/>
    <w:rsid w:val="00045338"/>
    <w:rsid w:val="00055D45"/>
    <w:rsid w:val="000704EC"/>
    <w:rsid w:val="000705FD"/>
    <w:rsid w:val="000720E3"/>
    <w:rsid w:val="00073219"/>
    <w:rsid w:val="0007450D"/>
    <w:rsid w:val="0007535B"/>
    <w:rsid w:val="00087BC5"/>
    <w:rsid w:val="00096E66"/>
    <w:rsid w:val="000A288F"/>
    <w:rsid w:val="000A304A"/>
    <w:rsid w:val="000A4140"/>
    <w:rsid w:val="000A4E59"/>
    <w:rsid w:val="000A5141"/>
    <w:rsid w:val="000A6028"/>
    <w:rsid w:val="000A7063"/>
    <w:rsid w:val="000A732E"/>
    <w:rsid w:val="000B067A"/>
    <w:rsid w:val="000B7060"/>
    <w:rsid w:val="000C01F0"/>
    <w:rsid w:val="000C19D8"/>
    <w:rsid w:val="000C32E3"/>
    <w:rsid w:val="000C46DD"/>
    <w:rsid w:val="000C5182"/>
    <w:rsid w:val="000C6AF3"/>
    <w:rsid w:val="000D0221"/>
    <w:rsid w:val="000D04D6"/>
    <w:rsid w:val="000D18FB"/>
    <w:rsid w:val="000D1A19"/>
    <w:rsid w:val="000D1E4E"/>
    <w:rsid w:val="000D5526"/>
    <w:rsid w:val="000E4E64"/>
    <w:rsid w:val="000E5A3B"/>
    <w:rsid w:val="000F700E"/>
    <w:rsid w:val="000F7419"/>
    <w:rsid w:val="000F7D00"/>
    <w:rsid w:val="0010083B"/>
    <w:rsid w:val="001012C9"/>
    <w:rsid w:val="00101E8E"/>
    <w:rsid w:val="0010347C"/>
    <w:rsid w:val="0010511F"/>
    <w:rsid w:val="00106E0C"/>
    <w:rsid w:val="00114686"/>
    <w:rsid w:val="00123216"/>
    <w:rsid w:val="00126EF5"/>
    <w:rsid w:val="0012758D"/>
    <w:rsid w:val="00127F3A"/>
    <w:rsid w:val="001339F1"/>
    <w:rsid w:val="00141069"/>
    <w:rsid w:val="00146287"/>
    <w:rsid w:val="001540CD"/>
    <w:rsid w:val="0015591B"/>
    <w:rsid w:val="001560A2"/>
    <w:rsid w:val="0015675E"/>
    <w:rsid w:val="001570E2"/>
    <w:rsid w:val="00160D1E"/>
    <w:rsid w:val="00166BFB"/>
    <w:rsid w:val="00171AD1"/>
    <w:rsid w:val="001773A4"/>
    <w:rsid w:val="00177D66"/>
    <w:rsid w:val="00180F26"/>
    <w:rsid w:val="00183895"/>
    <w:rsid w:val="00184C0A"/>
    <w:rsid w:val="00184CB0"/>
    <w:rsid w:val="00185971"/>
    <w:rsid w:val="001914E2"/>
    <w:rsid w:val="0019445C"/>
    <w:rsid w:val="001966A7"/>
    <w:rsid w:val="001969A2"/>
    <w:rsid w:val="0019776D"/>
    <w:rsid w:val="001977E5"/>
    <w:rsid w:val="001A04FD"/>
    <w:rsid w:val="001A1BD1"/>
    <w:rsid w:val="001A23B0"/>
    <w:rsid w:val="001A37A9"/>
    <w:rsid w:val="001A4D11"/>
    <w:rsid w:val="001A6B5F"/>
    <w:rsid w:val="001A759A"/>
    <w:rsid w:val="001B06E4"/>
    <w:rsid w:val="001B1A72"/>
    <w:rsid w:val="001B20E4"/>
    <w:rsid w:val="001B4FEA"/>
    <w:rsid w:val="001B7E0A"/>
    <w:rsid w:val="001C1BDE"/>
    <w:rsid w:val="001C549E"/>
    <w:rsid w:val="001C6EFA"/>
    <w:rsid w:val="001D2E00"/>
    <w:rsid w:val="001D4281"/>
    <w:rsid w:val="001E2F3D"/>
    <w:rsid w:val="001E3BEA"/>
    <w:rsid w:val="001E3C43"/>
    <w:rsid w:val="001E3FA8"/>
    <w:rsid w:val="001E6951"/>
    <w:rsid w:val="001E7AC4"/>
    <w:rsid w:val="001F050D"/>
    <w:rsid w:val="001F0CF2"/>
    <w:rsid w:val="001F2DDE"/>
    <w:rsid w:val="001F4BB8"/>
    <w:rsid w:val="001F6545"/>
    <w:rsid w:val="001F760C"/>
    <w:rsid w:val="00200718"/>
    <w:rsid w:val="00201E7D"/>
    <w:rsid w:val="00202559"/>
    <w:rsid w:val="00202E1D"/>
    <w:rsid w:val="00202FDB"/>
    <w:rsid w:val="0020758A"/>
    <w:rsid w:val="00207C8D"/>
    <w:rsid w:val="002101EB"/>
    <w:rsid w:val="00212A3B"/>
    <w:rsid w:val="00217871"/>
    <w:rsid w:val="00226BB6"/>
    <w:rsid w:val="00227116"/>
    <w:rsid w:val="00227EDF"/>
    <w:rsid w:val="0023141C"/>
    <w:rsid w:val="00242989"/>
    <w:rsid w:val="002433E2"/>
    <w:rsid w:val="002435A1"/>
    <w:rsid w:val="00243CB4"/>
    <w:rsid w:val="00246066"/>
    <w:rsid w:val="00253846"/>
    <w:rsid w:val="00256956"/>
    <w:rsid w:val="00260190"/>
    <w:rsid w:val="00261E18"/>
    <w:rsid w:val="00263889"/>
    <w:rsid w:val="00266000"/>
    <w:rsid w:val="0026642D"/>
    <w:rsid w:val="00266F65"/>
    <w:rsid w:val="00270D07"/>
    <w:rsid w:val="00281335"/>
    <w:rsid w:val="00297FB8"/>
    <w:rsid w:val="002A124F"/>
    <w:rsid w:val="002A2D24"/>
    <w:rsid w:val="002A3590"/>
    <w:rsid w:val="002B09FA"/>
    <w:rsid w:val="002B3BD4"/>
    <w:rsid w:val="002B5FB8"/>
    <w:rsid w:val="002C0834"/>
    <w:rsid w:val="002C168A"/>
    <w:rsid w:val="002C5D17"/>
    <w:rsid w:val="002C7892"/>
    <w:rsid w:val="002D02E8"/>
    <w:rsid w:val="002D0CB2"/>
    <w:rsid w:val="002D1A00"/>
    <w:rsid w:val="002D3F97"/>
    <w:rsid w:val="002D5BB6"/>
    <w:rsid w:val="002D60F7"/>
    <w:rsid w:val="002E0FD7"/>
    <w:rsid w:val="002F28BE"/>
    <w:rsid w:val="00302264"/>
    <w:rsid w:val="00302C7F"/>
    <w:rsid w:val="00304A8D"/>
    <w:rsid w:val="00307732"/>
    <w:rsid w:val="003119CE"/>
    <w:rsid w:val="00313191"/>
    <w:rsid w:val="00314572"/>
    <w:rsid w:val="00316171"/>
    <w:rsid w:val="00320888"/>
    <w:rsid w:val="003220B6"/>
    <w:rsid w:val="00325885"/>
    <w:rsid w:val="00325A6F"/>
    <w:rsid w:val="00333E5C"/>
    <w:rsid w:val="0033593F"/>
    <w:rsid w:val="00335CB4"/>
    <w:rsid w:val="00336459"/>
    <w:rsid w:val="0033653E"/>
    <w:rsid w:val="00337951"/>
    <w:rsid w:val="00340C76"/>
    <w:rsid w:val="00340D40"/>
    <w:rsid w:val="00341258"/>
    <w:rsid w:val="00342E32"/>
    <w:rsid w:val="00342EF4"/>
    <w:rsid w:val="0034353A"/>
    <w:rsid w:val="003454F8"/>
    <w:rsid w:val="00345924"/>
    <w:rsid w:val="00346387"/>
    <w:rsid w:val="0034678E"/>
    <w:rsid w:val="003551F4"/>
    <w:rsid w:val="00355259"/>
    <w:rsid w:val="003575E1"/>
    <w:rsid w:val="00357937"/>
    <w:rsid w:val="00360E39"/>
    <w:rsid w:val="00361374"/>
    <w:rsid w:val="00362D81"/>
    <w:rsid w:val="003636A6"/>
    <w:rsid w:val="0036732C"/>
    <w:rsid w:val="00370A65"/>
    <w:rsid w:val="0037238A"/>
    <w:rsid w:val="00375D2B"/>
    <w:rsid w:val="003822ED"/>
    <w:rsid w:val="0038255C"/>
    <w:rsid w:val="003850B4"/>
    <w:rsid w:val="00385AAE"/>
    <w:rsid w:val="003874C8"/>
    <w:rsid w:val="003876FC"/>
    <w:rsid w:val="003877F1"/>
    <w:rsid w:val="003956DE"/>
    <w:rsid w:val="00397328"/>
    <w:rsid w:val="003A245D"/>
    <w:rsid w:val="003A2EB5"/>
    <w:rsid w:val="003A4A4F"/>
    <w:rsid w:val="003A4D3C"/>
    <w:rsid w:val="003A4F36"/>
    <w:rsid w:val="003B278E"/>
    <w:rsid w:val="003B3773"/>
    <w:rsid w:val="003C2FFB"/>
    <w:rsid w:val="003C3284"/>
    <w:rsid w:val="003C3AA5"/>
    <w:rsid w:val="003C683E"/>
    <w:rsid w:val="003C69AF"/>
    <w:rsid w:val="003D33AB"/>
    <w:rsid w:val="003D58B6"/>
    <w:rsid w:val="003D5D9B"/>
    <w:rsid w:val="003D7DB4"/>
    <w:rsid w:val="003E11F9"/>
    <w:rsid w:val="003E5775"/>
    <w:rsid w:val="003E5B84"/>
    <w:rsid w:val="003E7B00"/>
    <w:rsid w:val="003F17E2"/>
    <w:rsid w:val="003F6EA8"/>
    <w:rsid w:val="00402C52"/>
    <w:rsid w:val="00402E95"/>
    <w:rsid w:val="00405D96"/>
    <w:rsid w:val="0040685F"/>
    <w:rsid w:val="00406D19"/>
    <w:rsid w:val="00414884"/>
    <w:rsid w:val="00414C4A"/>
    <w:rsid w:val="004164C8"/>
    <w:rsid w:val="00416C8D"/>
    <w:rsid w:val="00417ED3"/>
    <w:rsid w:val="00420BA4"/>
    <w:rsid w:val="00422143"/>
    <w:rsid w:val="00422D68"/>
    <w:rsid w:val="00425D4A"/>
    <w:rsid w:val="0043261B"/>
    <w:rsid w:val="004341F8"/>
    <w:rsid w:val="0043621F"/>
    <w:rsid w:val="0043682F"/>
    <w:rsid w:val="00436871"/>
    <w:rsid w:val="00440668"/>
    <w:rsid w:val="00442225"/>
    <w:rsid w:val="00443B6C"/>
    <w:rsid w:val="00450744"/>
    <w:rsid w:val="00450885"/>
    <w:rsid w:val="00453C47"/>
    <w:rsid w:val="0046071D"/>
    <w:rsid w:val="00463F9F"/>
    <w:rsid w:val="00464C3A"/>
    <w:rsid w:val="00466134"/>
    <w:rsid w:val="004750F3"/>
    <w:rsid w:val="00475C57"/>
    <w:rsid w:val="00475FA3"/>
    <w:rsid w:val="00476D16"/>
    <w:rsid w:val="004803BA"/>
    <w:rsid w:val="00483018"/>
    <w:rsid w:val="00483F18"/>
    <w:rsid w:val="00487EBE"/>
    <w:rsid w:val="00491524"/>
    <w:rsid w:val="00497CD2"/>
    <w:rsid w:val="004A549E"/>
    <w:rsid w:val="004A59BA"/>
    <w:rsid w:val="004A64E6"/>
    <w:rsid w:val="004B10C4"/>
    <w:rsid w:val="004B46B1"/>
    <w:rsid w:val="004B79B4"/>
    <w:rsid w:val="004C198F"/>
    <w:rsid w:val="004C2665"/>
    <w:rsid w:val="004C30E9"/>
    <w:rsid w:val="004C6096"/>
    <w:rsid w:val="004D179E"/>
    <w:rsid w:val="004D2CE4"/>
    <w:rsid w:val="004D423F"/>
    <w:rsid w:val="004D4373"/>
    <w:rsid w:val="004D63E0"/>
    <w:rsid w:val="004D7D32"/>
    <w:rsid w:val="004E0A87"/>
    <w:rsid w:val="004E1B4B"/>
    <w:rsid w:val="004E434F"/>
    <w:rsid w:val="004E5541"/>
    <w:rsid w:val="004F0A44"/>
    <w:rsid w:val="004F4A5A"/>
    <w:rsid w:val="004F4C55"/>
    <w:rsid w:val="004F52A9"/>
    <w:rsid w:val="005016D5"/>
    <w:rsid w:val="00505ACD"/>
    <w:rsid w:val="00505EC9"/>
    <w:rsid w:val="005123A7"/>
    <w:rsid w:val="00515766"/>
    <w:rsid w:val="00516423"/>
    <w:rsid w:val="005207DD"/>
    <w:rsid w:val="00521BBC"/>
    <w:rsid w:val="00522588"/>
    <w:rsid w:val="005247FD"/>
    <w:rsid w:val="00527338"/>
    <w:rsid w:val="00530DAA"/>
    <w:rsid w:val="005324A5"/>
    <w:rsid w:val="00533BA6"/>
    <w:rsid w:val="005350AD"/>
    <w:rsid w:val="00535D25"/>
    <w:rsid w:val="0054190C"/>
    <w:rsid w:val="00542108"/>
    <w:rsid w:val="00544B51"/>
    <w:rsid w:val="00553F6C"/>
    <w:rsid w:val="005540C3"/>
    <w:rsid w:val="00555F70"/>
    <w:rsid w:val="00556770"/>
    <w:rsid w:val="00564CE7"/>
    <w:rsid w:val="005669CB"/>
    <w:rsid w:val="00567D5E"/>
    <w:rsid w:val="00572A79"/>
    <w:rsid w:val="00572D5B"/>
    <w:rsid w:val="00577F8F"/>
    <w:rsid w:val="0058082D"/>
    <w:rsid w:val="00584A58"/>
    <w:rsid w:val="005863E4"/>
    <w:rsid w:val="00586BA9"/>
    <w:rsid w:val="00591679"/>
    <w:rsid w:val="00593A10"/>
    <w:rsid w:val="005947CF"/>
    <w:rsid w:val="0059539D"/>
    <w:rsid w:val="00595A25"/>
    <w:rsid w:val="005964E9"/>
    <w:rsid w:val="00597C0E"/>
    <w:rsid w:val="005A0820"/>
    <w:rsid w:val="005A1A6A"/>
    <w:rsid w:val="005A216A"/>
    <w:rsid w:val="005A31A0"/>
    <w:rsid w:val="005A5CFF"/>
    <w:rsid w:val="005B1F16"/>
    <w:rsid w:val="005B3A5C"/>
    <w:rsid w:val="005B428F"/>
    <w:rsid w:val="005B5CFE"/>
    <w:rsid w:val="005B76F3"/>
    <w:rsid w:val="005B7C70"/>
    <w:rsid w:val="005C059A"/>
    <w:rsid w:val="005C0A6F"/>
    <w:rsid w:val="005C0C4E"/>
    <w:rsid w:val="005C0CDA"/>
    <w:rsid w:val="005C2EF9"/>
    <w:rsid w:val="005C4886"/>
    <w:rsid w:val="005D559D"/>
    <w:rsid w:val="005D6795"/>
    <w:rsid w:val="005E078D"/>
    <w:rsid w:val="005E2B89"/>
    <w:rsid w:val="005E542F"/>
    <w:rsid w:val="005F163B"/>
    <w:rsid w:val="005F2746"/>
    <w:rsid w:val="005F2BC7"/>
    <w:rsid w:val="005F408A"/>
    <w:rsid w:val="005F43AD"/>
    <w:rsid w:val="0060041E"/>
    <w:rsid w:val="00604D0C"/>
    <w:rsid w:val="00606096"/>
    <w:rsid w:val="00606E2F"/>
    <w:rsid w:val="00614A99"/>
    <w:rsid w:val="00617823"/>
    <w:rsid w:val="00617B24"/>
    <w:rsid w:val="00622561"/>
    <w:rsid w:val="006227B1"/>
    <w:rsid w:val="006247B6"/>
    <w:rsid w:val="00627245"/>
    <w:rsid w:val="00627512"/>
    <w:rsid w:val="00627DC6"/>
    <w:rsid w:val="00630444"/>
    <w:rsid w:val="00633F67"/>
    <w:rsid w:val="00634595"/>
    <w:rsid w:val="00637C0E"/>
    <w:rsid w:val="0064172A"/>
    <w:rsid w:val="006418EF"/>
    <w:rsid w:val="00651B9C"/>
    <w:rsid w:val="00651C2F"/>
    <w:rsid w:val="006533F8"/>
    <w:rsid w:val="006542A4"/>
    <w:rsid w:val="00656C46"/>
    <w:rsid w:val="00663B5E"/>
    <w:rsid w:val="006670BB"/>
    <w:rsid w:val="00677754"/>
    <w:rsid w:val="00680FC4"/>
    <w:rsid w:val="006832A0"/>
    <w:rsid w:val="0068377E"/>
    <w:rsid w:val="00684709"/>
    <w:rsid w:val="0068536A"/>
    <w:rsid w:val="006901E8"/>
    <w:rsid w:val="006932B9"/>
    <w:rsid w:val="0069557D"/>
    <w:rsid w:val="006961DF"/>
    <w:rsid w:val="006A0273"/>
    <w:rsid w:val="006A2DD2"/>
    <w:rsid w:val="006A7763"/>
    <w:rsid w:val="006B37E1"/>
    <w:rsid w:val="006B4DA1"/>
    <w:rsid w:val="006B5E1E"/>
    <w:rsid w:val="006B7892"/>
    <w:rsid w:val="006C1B50"/>
    <w:rsid w:val="006C4B02"/>
    <w:rsid w:val="006C524B"/>
    <w:rsid w:val="006C53E4"/>
    <w:rsid w:val="006D07A5"/>
    <w:rsid w:val="006D10FE"/>
    <w:rsid w:val="006D2AC6"/>
    <w:rsid w:val="006D2F28"/>
    <w:rsid w:val="006D345E"/>
    <w:rsid w:val="006D3D1E"/>
    <w:rsid w:val="006D78D2"/>
    <w:rsid w:val="006E4337"/>
    <w:rsid w:val="006E5C10"/>
    <w:rsid w:val="006E768D"/>
    <w:rsid w:val="006F19DD"/>
    <w:rsid w:val="006F276F"/>
    <w:rsid w:val="006F36BA"/>
    <w:rsid w:val="006F37D0"/>
    <w:rsid w:val="006F666D"/>
    <w:rsid w:val="006F70AE"/>
    <w:rsid w:val="006F72CA"/>
    <w:rsid w:val="00700754"/>
    <w:rsid w:val="00705F41"/>
    <w:rsid w:val="007079C1"/>
    <w:rsid w:val="00713456"/>
    <w:rsid w:val="00713F9B"/>
    <w:rsid w:val="00714EDE"/>
    <w:rsid w:val="0071584E"/>
    <w:rsid w:val="00721FFC"/>
    <w:rsid w:val="0073051C"/>
    <w:rsid w:val="00730ACE"/>
    <w:rsid w:val="00732506"/>
    <w:rsid w:val="00734A60"/>
    <w:rsid w:val="00734E3B"/>
    <w:rsid w:val="007354F4"/>
    <w:rsid w:val="0073681A"/>
    <w:rsid w:val="00736FE9"/>
    <w:rsid w:val="0074387F"/>
    <w:rsid w:val="00746A95"/>
    <w:rsid w:val="00750403"/>
    <w:rsid w:val="00755761"/>
    <w:rsid w:val="00755A38"/>
    <w:rsid w:val="00756CC6"/>
    <w:rsid w:val="00761C53"/>
    <w:rsid w:val="00764C47"/>
    <w:rsid w:val="00766A4F"/>
    <w:rsid w:val="00772F7A"/>
    <w:rsid w:val="007736AF"/>
    <w:rsid w:val="00776A9E"/>
    <w:rsid w:val="00784545"/>
    <w:rsid w:val="007874D4"/>
    <w:rsid w:val="00790999"/>
    <w:rsid w:val="00791686"/>
    <w:rsid w:val="007934E7"/>
    <w:rsid w:val="00794D78"/>
    <w:rsid w:val="00797EBD"/>
    <w:rsid w:val="007A0D33"/>
    <w:rsid w:val="007A2C0F"/>
    <w:rsid w:val="007A7E0C"/>
    <w:rsid w:val="007B65E3"/>
    <w:rsid w:val="007C01D3"/>
    <w:rsid w:val="007C0704"/>
    <w:rsid w:val="007C4A55"/>
    <w:rsid w:val="007C6FC4"/>
    <w:rsid w:val="007C7957"/>
    <w:rsid w:val="007D0F2D"/>
    <w:rsid w:val="007D2558"/>
    <w:rsid w:val="007D4426"/>
    <w:rsid w:val="007E22C0"/>
    <w:rsid w:val="007F0416"/>
    <w:rsid w:val="007F0FD5"/>
    <w:rsid w:val="007F5F29"/>
    <w:rsid w:val="007F6EDB"/>
    <w:rsid w:val="007F7FFD"/>
    <w:rsid w:val="0080227F"/>
    <w:rsid w:val="008116CE"/>
    <w:rsid w:val="00815D8A"/>
    <w:rsid w:val="00816456"/>
    <w:rsid w:val="00816D42"/>
    <w:rsid w:val="00816E86"/>
    <w:rsid w:val="00817719"/>
    <w:rsid w:val="00817F3B"/>
    <w:rsid w:val="008233FD"/>
    <w:rsid w:val="00824A41"/>
    <w:rsid w:val="00832116"/>
    <w:rsid w:val="0083383A"/>
    <w:rsid w:val="008344D2"/>
    <w:rsid w:val="00837AC2"/>
    <w:rsid w:val="00840434"/>
    <w:rsid w:val="00841FB4"/>
    <w:rsid w:val="008430B8"/>
    <w:rsid w:val="00843FAE"/>
    <w:rsid w:val="00845FB3"/>
    <w:rsid w:val="008507F4"/>
    <w:rsid w:val="00850D65"/>
    <w:rsid w:val="00853EC0"/>
    <w:rsid w:val="008545D4"/>
    <w:rsid w:val="00855C86"/>
    <w:rsid w:val="0085688E"/>
    <w:rsid w:val="008619BA"/>
    <w:rsid w:val="00862836"/>
    <w:rsid w:val="00863881"/>
    <w:rsid w:val="008645E8"/>
    <w:rsid w:val="00864DCC"/>
    <w:rsid w:val="00871676"/>
    <w:rsid w:val="00872CAB"/>
    <w:rsid w:val="00873049"/>
    <w:rsid w:val="00873F51"/>
    <w:rsid w:val="00873FF5"/>
    <w:rsid w:val="00880081"/>
    <w:rsid w:val="0088394B"/>
    <w:rsid w:val="00885A28"/>
    <w:rsid w:val="00894070"/>
    <w:rsid w:val="00896192"/>
    <w:rsid w:val="0089763D"/>
    <w:rsid w:val="008A443F"/>
    <w:rsid w:val="008A6BCA"/>
    <w:rsid w:val="008B0419"/>
    <w:rsid w:val="008B09DB"/>
    <w:rsid w:val="008B0E25"/>
    <w:rsid w:val="008B1651"/>
    <w:rsid w:val="008B2906"/>
    <w:rsid w:val="008B3C40"/>
    <w:rsid w:val="008B4E4E"/>
    <w:rsid w:val="008B5AA3"/>
    <w:rsid w:val="008B61C2"/>
    <w:rsid w:val="008B6382"/>
    <w:rsid w:val="008C55DD"/>
    <w:rsid w:val="008D19B7"/>
    <w:rsid w:val="008D28E5"/>
    <w:rsid w:val="008D2A81"/>
    <w:rsid w:val="008E753E"/>
    <w:rsid w:val="008E7AC5"/>
    <w:rsid w:val="008F039F"/>
    <w:rsid w:val="008F134F"/>
    <w:rsid w:val="008F198C"/>
    <w:rsid w:val="008F3A03"/>
    <w:rsid w:val="00900E3D"/>
    <w:rsid w:val="0090174D"/>
    <w:rsid w:val="0090628A"/>
    <w:rsid w:val="00906441"/>
    <w:rsid w:val="009129F7"/>
    <w:rsid w:val="0091371A"/>
    <w:rsid w:val="00915257"/>
    <w:rsid w:val="009165DB"/>
    <w:rsid w:val="00916600"/>
    <w:rsid w:val="009175BA"/>
    <w:rsid w:val="00920DEA"/>
    <w:rsid w:val="00924F6E"/>
    <w:rsid w:val="00927F1D"/>
    <w:rsid w:val="00932CBB"/>
    <w:rsid w:val="00935044"/>
    <w:rsid w:val="00936270"/>
    <w:rsid w:val="009374D8"/>
    <w:rsid w:val="009418D5"/>
    <w:rsid w:val="00942294"/>
    <w:rsid w:val="00942470"/>
    <w:rsid w:val="00943502"/>
    <w:rsid w:val="00945B2D"/>
    <w:rsid w:val="00951856"/>
    <w:rsid w:val="009520D7"/>
    <w:rsid w:val="00953005"/>
    <w:rsid w:val="00957998"/>
    <w:rsid w:val="009650DB"/>
    <w:rsid w:val="00966DED"/>
    <w:rsid w:val="00971D89"/>
    <w:rsid w:val="0097265B"/>
    <w:rsid w:val="00980C46"/>
    <w:rsid w:val="009819E1"/>
    <w:rsid w:val="0098309B"/>
    <w:rsid w:val="00985B26"/>
    <w:rsid w:val="009917B1"/>
    <w:rsid w:val="009A1465"/>
    <w:rsid w:val="009B06C1"/>
    <w:rsid w:val="009B5C17"/>
    <w:rsid w:val="009C19AD"/>
    <w:rsid w:val="009C3187"/>
    <w:rsid w:val="009C6A21"/>
    <w:rsid w:val="009C7987"/>
    <w:rsid w:val="009D009B"/>
    <w:rsid w:val="009D348C"/>
    <w:rsid w:val="009D4642"/>
    <w:rsid w:val="009D5D09"/>
    <w:rsid w:val="009E20B7"/>
    <w:rsid w:val="009F082F"/>
    <w:rsid w:val="009F42C0"/>
    <w:rsid w:val="009F46C4"/>
    <w:rsid w:val="009F7340"/>
    <w:rsid w:val="009F7B6A"/>
    <w:rsid w:val="009F7E49"/>
    <w:rsid w:val="00A03197"/>
    <w:rsid w:val="00A03640"/>
    <w:rsid w:val="00A044CC"/>
    <w:rsid w:val="00A103DB"/>
    <w:rsid w:val="00A13FD2"/>
    <w:rsid w:val="00A15B1D"/>
    <w:rsid w:val="00A20EFB"/>
    <w:rsid w:val="00A219A2"/>
    <w:rsid w:val="00A22C75"/>
    <w:rsid w:val="00A24F32"/>
    <w:rsid w:val="00A27A99"/>
    <w:rsid w:val="00A32C78"/>
    <w:rsid w:val="00A35D74"/>
    <w:rsid w:val="00A35D8D"/>
    <w:rsid w:val="00A35EA9"/>
    <w:rsid w:val="00A36154"/>
    <w:rsid w:val="00A4388D"/>
    <w:rsid w:val="00A43975"/>
    <w:rsid w:val="00A43B8F"/>
    <w:rsid w:val="00A54BE7"/>
    <w:rsid w:val="00A56BA1"/>
    <w:rsid w:val="00A579CF"/>
    <w:rsid w:val="00A614A8"/>
    <w:rsid w:val="00A62418"/>
    <w:rsid w:val="00A63455"/>
    <w:rsid w:val="00A63848"/>
    <w:rsid w:val="00A650EF"/>
    <w:rsid w:val="00A66246"/>
    <w:rsid w:val="00A66678"/>
    <w:rsid w:val="00A672BE"/>
    <w:rsid w:val="00A677F1"/>
    <w:rsid w:val="00A730BF"/>
    <w:rsid w:val="00A74077"/>
    <w:rsid w:val="00A74FE3"/>
    <w:rsid w:val="00A7688B"/>
    <w:rsid w:val="00A77A7F"/>
    <w:rsid w:val="00A77BD7"/>
    <w:rsid w:val="00A807F6"/>
    <w:rsid w:val="00A80EF5"/>
    <w:rsid w:val="00A8342E"/>
    <w:rsid w:val="00A84F66"/>
    <w:rsid w:val="00A92784"/>
    <w:rsid w:val="00A92A44"/>
    <w:rsid w:val="00A95666"/>
    <w:rsid w:val="00A9634B"/>
    <w:rsid w:val="00A97804"/>
    <w:rsid w:val="00AA24A1"/>
    <w:rsid w:val="00AA3D18"/>
    <w:rsid w:val="00AA47C4"/>
    <w:rsid w:val="00AB00AE"/>
    <w:rsid w:val="00AB2233"/>
    <w:rsid w:val="00AB4182"/>
    <w:rsid w:val="00AB5405"/>
    <w:rsid w:val="00AC176B"/>
    <w:rsid w:val="00AC2CFC"/>
    <w:rsid w:val="00AC711A"/>
    <w:rsid w:val="00AC74AC"/>
    <w:rsid w:val="00AC7C78"/>
    <w:rsid w:val="00AD0439"/>
    <w:rsid w:val="00AD0AA4"/>
    <w:rsid w:val="00AD1E6D"/>
    <w:rsid w:val="00AD51EE"/>
    <w:rsid w:val="00AD5E60"/>
    <w:rsid w:val="00AD75A1"/>
    <w:rsid w:val="00AE237B"/>
    <w:rsid w:val="00AE3D9C"/>
    <w:rsid w:val="00AE7030"/>
    <w:rsid w:val="00AF030E"/>
    <w:rsid w:val="00AF3C8B"/>
    <w:rsid w:val="00AF4D39"/>
    <w:rsid w:val="00B03765"/>
    <w:rsid w:val="00B05559"/>
    <w:rsid w:val="00B062B8"/>
    <w:rsid w:val="00B06DAC"/>
    <w:rsid w:val="00B11908"/>
    <w:rsid w:val="00B1198C"/>
    <w:rsid w:val="00B145EC"/>
    <w:rsid w:val="00B2022F"/>
    <w:rsid w:val="00B220DD"/>
    <w:rsid w:val="00B23FBB"/>
    <w:rsid w:val="00B24754"/>
    <w:rsid w:val="00B30105"/>
    <w:rsid w:val="00B311B1"/>
    <w:rsid w:val="00B32ADA"/>
    <w:rsid w:val="00B3476E"/>
    <w:rsid w:val="00B35223"/>
    <w:rsid w:val="00B3682C"/>
    <w:rsid w:val="00B4079D"/>
    <w:rsid w:val="00B453A7"/>
    <w:rsid w:val="00B4717A"/>
    <w:rsid w:val="00B5173A"/>
    <w:rsid w:val="00B53059"/>
    <w:rsid w:val="00B54C1B"/>
    <w:rsid w:val="00B57624"/>
    <w:rsid w:val="00B60149"/>
    <w:rsid w:val="00B60D05"/>
    <w:rsid w:val="00B64EBF"/>
    <w:rsid w:val="00B715B1"/>
    <w:rsid w:val="00B83EA6"/>
    <w:rsid w:val="00B936D5"/>
    <w:rsid w:val="00BA5DF1"/>
    <w:rsid w:val="00BA78D0"/>
    <w:rsid w:val="00BB1BC7"/>
    <w:rsid w:val="00BB3A93"/>
    <w:rsid w:val="00BB4C52"/>
    <w:rsid w:val="00BB6505"/>
    <w:rsid w:val="00BB6B46"/>
    <w:rsid w:val="00BB6E79"/>
    <w:rsid w:val="00BB6F2A"/>
    <w:rsid w:val="00BC4069"/>
    <w:rsid w:val="00BC4998"/>
    <w:rsid w:val="00BC7D47"/>
    <w:rsid w:val="00BD3866"/>
    <w:rsid w:val="00BD3DE7"/>
    <w:rsid w:val="00BD3FA3"/>
    <w:rsid w:val="00BD581D"/>
    <w:rsid w:val="00BD61FB"/>
    <w:rsid w:val="00BD7C9F"/>
    <w:rsid w:val="00BE0C25"/>
    <w:rsid w:val="00BE1DCA"/>
    <w:rsid w:val="00BE3603"/>
    <w:rsid w:val="00BE3DFD"/>
    <w:rsid w:val="00BE47C2"/>
    <w:rsid w:val="00BF12F1"/>
    <w:rsid w:val="00BF1C1D"/>
    <w:rsid w:val="00BF6659"/>
    <w:rsid w:val="00BF717C"/>
    <w:rsid w:val="00C02F41"/>
    <w:rsid w:val="00C10963"/>
    <w:rsid w:val="00C10DFC"/>
    <w:rsid w:val="00C118B0"/>
    <w:rsid w:val="00C14B0D"/>
    <w:rsid w:val="00C23C7B"/>
    <w:rsid w:val="00C25ACA"/>
    <w:rsid w:val="00C262F4"/>
    <w:rsid w:val="00C2705C"/>
    <w:rsid w:val="00C2707D"/>
    <w:rsid w:val="00C31E38"/>
    <w:rsid w:val="00C31FB5"/>
    <w:rsid w:val="00C32E24"/>
    <w:rsid w:val="00C41C44"/>
    <w:rsid w:val="00C42389"/>
    <w:rsid w:val="00C445D6"/>
    <w:rsid w:val="00C45DC4"/>
    <w:rsid w:val="00C46B78"/>
    <w:rsid w:val="00C477DD"/>
    <w:rsid w:val="00C47F16"/>
    <w:rsid w:val="00C47FD9"/>
    <w:rsid w:val="00C50BBA"/>
    <w:rsid w:val="00C55364"/>
    <w:rsid w:val="00C61B21"/>
    <w:rsid w:val="00C62B6E"/>
    <w:rsid w:val="00C62C53"/>
    <w:rsid w:val="00C65155"/>
    <w:rsid w:val="00C67EF4"/>
    <w:rsid w:val="00C711D6"/>
    <w:rsid w:val="00C75BC4"/>
    <w:rsid w:val="00C75EF0"/>
    <w:rsid w:val="00C803FD"/>
    <w:rsid w:val="00C80F8E"/>
    <w:rsid w:val="00C81DEF"/>
    <w:rsid w:val="00C838F1"/>
    <w:rsid w:val="00C86D6D"/>
    <w:rsid w:val="00C9228B"/>
    <w:rsid w:val="00C9273B"/>
    <w:rsid w:val="00C93035"/>
    <w:rsid w:val="00CA0568"/>
    <w:rsid w:val="00CA1841"/>
    <w:rsid w:val="00CA3414"/>
    <w:rsid w:val="00CB1EAE"/>
    <w:rsid w:val="00CB276A"/>
    <w:rsid w:val="00CB3840"/>
    <w:rsid w:val="00CB5DB7"/>
    <w:rsid w:val="00CC1A3F"/>
    <w:rsid w:val="00CC23AE"/>
    <w:rsid w:val="00CC4A17"/>
    <w:rsid w:val="00CC60B2"/>
    <w:rsid w:val="00CC6380"/>
    <w:rsid w:val="00CD0977"/>
    <w:rsid w:val="00CD0C4F"/>
    <w:rsid w:val="00CD38FC"/>
    <w:rsid w:val="00CD447E"/>
    <w:rsid w:val="00CD52AE"/>
    <w:rsid w:val="00CD7F6A"/>
    <w:rsid w:val="00CE1A58"/>
    <w:rsid w:val="00CE1B20"/>
    <w:rsid w:val="00CE6454"/>
    <w:rsid w:val="00CE6F7B"/>
    <w:rsid w:val="00CF00A2"/>
    <w:rsid w:val="00CF04B1"/>
    <w:rsid w:val="00CF18E7"/>
    <w:rsid w:val="00CF1E09"/>
    <w:rsid w:val="00CF4543"/>
    <w:rsid w:val="00CF70F7"/>
    <w:rsid w:val="00CF7810"/>
    <w:rsid w:val="00D00616"/>
    <w:rsid w:val="00D03DDC"/>
    <w:rsid w:val="00D07BAB"/>
    <w:rsid w:val="00D11214"/>
    <w:rsid w:val="00D12A14"/>
    <w:rsid w:val="00D13033"/>
    <w:rsid w:val="00D14D8A"/>
    <w:rsid w:val="00D151BD"/>
    <w:rsid w:val="00D15299"/>
    <w:rsid w:val="00D15DC3"/>
    <w:rsid w:val="00D25276"/>
    <w:rsid w:val="00D25705"/>
    <w:rsid w:val="00D267A8"/>
    <w:rsid w:val="00D30A8B"/>
    <w:rsid w:val="00D3267F"/>
    <w:rsid w:val="00D335BE"/>
    <w:rsid w:val="00D356CE"/>
    <w:rsid w:val="00D41072"/>
    <w:rsid w:val="00D41F7C"/>
    <w:rsid w:val="00D422CA"/>
    <w:rsid w:val="00D42593"/>
    <w:rsid w:val="00D427C5"/>
    <w:rsid w:val="00D43A21"/>
    <w:rsid w:val="00D4625E"/>
    <w:rsid w:val="00D527B2"/>
    <w:rsid w:val="00D54936"/>
    <w:rsid w:val="00D57911"/>
    <w:rsid w:val="00D57998"/>
    <w:rsid w:val="00D64797"/>
    <w:rsid w:val="00D64C28"/>
    <w:rsid w:val="00D76645"/>
    <w:rsid w:val="00D76E46"/>
    <w:rsid w:val="00D7720D"/>
    <w:rsid w:val="00D77BB1"/>
    <w:rsid w:val="00D807D5"/>
    <w:rsid w:val="00D816D9"/>
    <w:rsid w:val="00D81E10"/>
    <w:rsid w:val="00D82D67"/>
    <w:rsid w:val="00D836DE"/>
    <w:rsid w:val="00D8673C"/>
    <w:rsid w:val="00D923B5"/>
    <w:rsid w:val="00D929F5"/>
    <w:rsid w:val="00D94BCD"/>
    <w:rsid w:val="00D95125"/>
    <w:rsid w:val="00D97783"/>
    <w:rsid w:val="00DA2653"/>
    <w:rsid w:val="00DA2F34"/>
    <w:rsid w:val="00DA751D"/>
    <w:rsid w:val="00DB1C5D"/>
    <w:rsid w:val="00DB215C"/>
    <w:rsid w:val="00DB27E9"/>
    <w:rsid w:val="00DB6917"/>
    <w:rsid w:val="00DB6B4E"/>
    <w:rsid w:val="00DB6E03"/>
    <w:rsid w:val="00DC4FAC"/>
    <w:rsid w:val="00DD0E1B"/>
    <w:rsid w:val="00DD1582"/>
    <w:rsid w:val="00DD1ECD"/>
    <w:rsid w:val="00DD46D4"/>
    <w:rsid w:val="00DE45E4"/>
    <w:rsid w:val="00DF4AA3"/>
    <w:rsid w:val="00DF5688"/>
    <w:rsid w:val="00DF5BAB"/>
    <w:rsid w:val="00E0321E"/>
    <w:rsid w:val="00E05CD8"/>
    <w:rsid w:val="00E0693A"/>
    <w:rsid w:val="00E07095"/>
    <w:rsid w:val="00E10ED7"/>
    <w:rsid w:val="00E1325F"/>
    <w:rsid w:val="00E15222"/>
    <w:rsid w:val="00E1556A"/>
    <w:rsid w:val="00E16153"/>
    <w:rsid w:val="00E170F6"/>
    <w:rsid w:val="00E20691"/>
    <w:rsid w:val="00E22552"/>
    <w:rsid w:val="00E22FDC"/>
    <w:rsid w:val="00E23571"/>
    <w:rsid w:val="00E23A6E"/>
    <w:rsid w:val="00E252B4"/>
    <w:rsid w:val="00E2700F"/>
    <w:rsid w:val="00E32F8E"/>
    <w:rsid w:val="00E33B0D"/>
    <w:rsid w:val="00E35805"/>
    <w:rsid w:val="00E366AF"/>
    <w:rsid w:val="00E41A0B"/>
    <w:rsid w:val="00E44983"/>
    <w:rsid w:val="00E449B2"/>
    <w:rsid w:val="00E47707"/>
    <w:rsid w:val="00E503A2"/>
    <w:rsid w:val="00E50889"/>
    <w:rsid w:val="00E50DBF"/>
    <w:rsid w:val="00E52761"/>
    <w:rsid w:val="00E53AAB"/>
    <w:rsid w:val="00E541B2"/>
    <w:rsid w:val="00E56E78"/>
    <w:rsid w:val="00E64AF4"/>
    <w:rsid w:val="00E66343"/>
    <w:rsid w:val="00E676CA"/>
    <w:rsid w:val="00E72767"/>
    <w:rsid w:val="00E73AEB"/>
    <w:rsid w:val="00E75F2E"/>
    <w:rsid w:val="00E76BF4"/>
    <w:rsid w:val="00E82AD1"/>
    <w:rsid w:val="00E83663"/>
    <w:rsid w:val="00E87FF9"/>
    <w:rsid w:val="00E916A0"/>
    <w:rsid w:val="00E93810"/>
    <w:rsid w:val="00E9643B"/>
    <w:rsid w:val="00E9654F"/>
    <w:rsid w:val="00EA5B3F"/>
    <w:rsid w:val="00EB76BD"/>
    <w:rsid w:val="00EC22F0"/>
    <w:rsid w:val="00EC4013"/>
    <w:rsid w:val="00EC5A86"/>
    <w:rsid w:val="00ED06F4"/>
    <w:rsid w:val="00ED276E"/>
    <w:rsid w:val="00ED3D35"/>
    <w:rsid w:val="00ED3D7B"/>
    <w:rsid w:val="00ED44D5"/>
    <w:rsid w:val="00ED7E68"/>
    <w:rsid w:val="00EE0432"/>
    <w:rsid w:val="00EE0E0C"/>
    <w:rsid w:val="00EE1EB3"/>
    <w:rsid w:val="00EE4D7B"/>
    <w:rsid w:val="00EF1E9A"/>
    <w:rsid w:val="00EF3B8B"/>
    <w:rsid w:val="00EF7CCA"/>
    <w:rsid w:val="00F02162"/>
    <w:rsid w:val="00F0383E"/>
    <w:rsid w:val="00F05AD2"/>
    <w:rsid w:val="00F07246"/>
    <w:rsid w:val="00F07FD7"/>
    <w:rsid w:val="00F10CBB"/>
    <w:rsid w:val="00F154C6"/>
    <w:rsid w:val="00F15692"/>
    <w:rsid w:val="00F20A89"/>
    <w:rsid w:val="00F240C2"/>
    <w:rsid w:val="00F25B96"/>
    <w:rsid w:val="00F26854"/>
    <w:rsid w:val="00F26B1B"/>
    <w:rsid w:val="00F27A63"/>
    <w:rsid w:val="00F3065E"/>
    <w:rsid w:val="00F30CEF"/>
    <w:rsid w:val="00F33D1B"/>
    <w:rsid w:val="00F403D6"/>
    <w:rsid w:val="00F42066"/>
    <w:rsid w:val="00F425A6"/>
    <w:rsid w:val="00F427AB"/>
    <w:rsid w:val="00F430F7"/>
    <w:rsid w:val="00F5007A"/>
    <w:rsid w:val="00F516C1"/>
    <w:rsid w:val="00F54117"/>
    <w:rsid w:val="00F55107"/>
    <w:rsid w:val="00F559C3"/>
    <w:rsid w:val="00F55DE9"/>
    <w:rsid w:val="00F577A7"/>
    <w:rsid w:val="00F57FE6"/>
    <w:rsid w:val="00F64310"/>
    <w:rsid w:val="00F660DE"/>
    <w:rsid w:val="00F67B7B"/>
    <w:rsid w:val="00F7391F"/>
    <w:rsid w:val="00F82562"/>
    <w:rsid w:val="00F83499"/>
    <w:rsid w:val="00F85DEE"/>
    <w:rsid w:val="00F86045"/>
    <w:rsid w:val="00F90276"/>
    <w:rsid w:val="00F90381"/>
    <w:rsid w:val="00F93A7D"/>
    <w:rsid w:val="00F957D8"/>
    <w:rsid w:val="00F970AF"/>
    <w:rsid w:val="00FA4464"/>
    <w:rsid w:val="00FA6BBC"/>
    <w:rsid w:val="00FA7855"/>
    <w:rsid w:val="00FB5141"/>
    <w:rsid w:val="00FB5A7A"/>
    <w:rsid w:val="00FB6324"/>
    <w:rsid w:val="00FB78F1"/>
    <w:rsid w:val="00FB7FDE"/>
    <w:rsid w:val="00FC0289"/>
    <w:rsid w:val="00FC1909"/>
    <w:rsid w:val="00FC5F7C"/>
    <w:rsid w:val="00FC6223"/>
    <w:rsid w:val="00FD2E4F"/>
    <w:rsid w:val="00FD317F"/>
    <w:rsid w:val="00FD4DFD"/>
    <w:rsid w:val="00FD5B23"/>
    <w:rsid w:val="00FE0940"/>
    <w:rsid w:val="00FE2C9C"/>
    <w:rsid w:val="00FE3F5E"/>
    <w:rsid w:val="00FE59FF"/>
    <w:rsid w:val="00FF2D5D"/>
    <w:rsid w:val="00FF5D14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5CA99A3"/>
  <w15:docId w15:val="{576C5B87-4AC9-40B3-B517-2C59059B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AU" w:eastAsia="el-GR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CommentText">
    <w:name w:val="annotation text"/>
    <w:basedOn w:val="Normal"/>
    <w:rPr>
      <w:sz w:val="20"/>
    </w:rPr>
  </w:style>
  <w:style w:type="paragraph" w:styleId="DocumentMap">
    <w:name w:val="Document Map"/>
    <w:basedOn w:val="Normal"/>
    <w:pPr>
      <w:shd w:val="clear" w:color="000000" w:fill="00007F"/>
    </w:pPr>
    <w:rPr>
      <w:rFonts w:ascii="Tahoma" w:hAnsi="Tahoma" w:cs="Tahoma"/>
      <w:sz w:val="20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lang w:val="el-GR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Cs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evision1">
    <w:name w:val="Revision1"/>
    <w:rPr>
      <w:rFonts w:ascii="Arial" w:hAnsi="Arial" w:cs="Arial"/>
      <w:color w:val="000000"/>
      <w:sz w:val="24"/>
      <w:lang w:val="en-AU" w:eastAsia="el-GR"/>
    </w:rPr>
  </w:style>
  <w:style w:type="paragraph" w:styleId="EndnoteText">
    <w:name w:val="endnote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 w:val="0"/>
    </w:rPr>
  </w:style>
  <w:style w:type="character" w:customStyle="1" w:styleId="CommentSubjectChar">
    <w:name w:val="Comment Subject Char"/>
    <w:rPr>
      <w:rFonts w:ascii="Arial" w:hAnsi="Arial"/>
      <w:b/>
      <w:bCs w:val="0"/>
      <w:lang w:val="en-AU"/>
    </w:rPr>
  </w:style>
  <w:style w:type="character" w:customStyle="1" w:styleId="bog-bodytext1">
    <w:name w:val="bog-bodytext1"/>
    <w:rPr>
      <w:rFonts w:ascii="Tahoma" w:hAnsi="Tahoma" w:cs="Tahoma"/>
      <w:color w:val="000000"/>
      <w:sz w:val="18"/>
      <w:szCs w:val="18"/>
    </w:rPr>
  </w:style>
  <w:style w:type="character" w:customStyle="1" w:styleId="HeaderChar">
    <w:name w:val="Header Char"/>
    <w:rPr>
      <w:rFonts w:ascii="Arial" w:hAnsi="Arial"/>
      <w:sz w:val="24"/>
      <w:lang w:val="en-AU"/>
    </w:rPr>
  </w:style>
  <w:style w:type="character" w:customStyle="1" w:styleId="BodyTextChar">
    <w:name w:val="Body Text Char"/>
    <w:rPr>
      <w:sz w:val="24"/>
      <w:lang w:val="el-GR" w:eastAsia="el-GR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FootnoteTextChar">
    <w:name w:val="Footnote Text Char"/>
    <w:rPr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/>
    </w:rPr>
  </w:style>
  <w:style w:type="character" w:customStyle="1" w:styleId="bog-bodytext">
    <w:name w:val="bog-bodytext"/>
    <w:basedOn w:val="DefaultParagraphFont"/>
  </w:style>
  <w:style w:type="character" w:styleId="FootnoteReference">
    <w:name w:val="footnote reference"/>
    <w:rPr>
      <w:position w:val="-2"/>
      <w:vertAlign w:val="superscript"/>
    </w:rPr>
  </w:style>
  <w:style w:type="character" w:customStyle="1" w:styleId="CommentTextChar">
    <w:name w:val="Comment Text Char"/>
    <w:rPr>
      <w:rFonts w:ascii="Arial" w:hAnsi="Arial"/>
      <w:lang w:val="en-AU"/>
    </w:rPr>
  </w:style>
  <w:style w:type="character" w:customStyle="1" w:styleId="apple-converted-space">
    <w:name w:val="apple-converted-space"/>
    <w:basedOn w:val="DefaultParagraphFont"/>
  </w:style>
  <w:style w:type="character" w:customStyle="1" w:styleId="EndnoteTextChar">
    <w:name w:val="Endnote Text Char"/>
    <w:rPr>
      <w:rFonts w:ascii="Arial" w:hAnsi="Arial"/>
      <w:lang w:val="en-AU" w:eastAsia="el-GR"/>
    </w:rPr>
  </w:style>
  <w:style w:type="character" w:styleId="EndnoteReference">
    <w:name w:val="endnote reference"/>
    <w:rPr>
      <w:position w:val="-2"/>
      <w:vertAlign w:val="superscript"/>
    </w:rPr>
  </w:style>
  <w:style w:type="table" w:styleId="TableGrid">
    <w:name w:val="Table Grid"/>
    <w:basedOn w:val="TableNormal"/>
    <w:uiPriority w:val="59"/>
    <w:rsid w:val="00C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11D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6A4F"/>
    <w:rPr>
      <w:color w:val="000000"/>
      <w:sz w:val="24"/>
      <w:lang w:val="en-GB"/>
    </w:rPr>
  </w:style>
  <w:style w:type="character" w:styleId="FollowedHyperlink">
    <w:name w:val="FollowedHyperlink"/>
    <w:uiPriority w:val="99"/>
    <w:semiHidden/>
    <w:unhideWhenUsed/>
    <w:rsid w:val="00927F1D"/>
    <w:rPr>
      <w:color w:val="800080"/>
      <w:u w:val="single"/>
    </w:rPr>
  </w:style>
  <w:style w:type="paragraph" w:styleId="Revision">
    <w:name w:val="Revision"/>
    <w:hidden/>
    <w:uiPriority w:val="99"/>
    <w:semiHidden/>
    <w:rsid w:val="00EA5B3F"/>
    <w:rPr>
      <w:rFonts w:ascii="Arial" w:hAnsi="Arial" w:cs="Arial"/>
      <w:color w:val="000000"/>
      <w:sz w:val="24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ofgreece.gr/statistika/nomismatikh-kai-trapezikh-statistiki/katatheseis-twn-pistwtikwn-idrymatw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nkofgreece.gr/statistika/nomismatikh-kai-trapezikh-statistiki/xrhmatodothsh-ths-ellhnikhs-oikonom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ofgreece.gr/RelatedDocuments/2023_&#925;&#935;&#921;_&#919;&#956;&#949;&#961;&#959;&#955;&#972;&#947;&#953;&#959;_&#948;&#951;&#956;&#959;&#963;&#943;&#949;&#965;&#963;&#951;&#962;_1M.xl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E0E4-3EB8-4937-963B-7AE06E20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serv.press@bankofgreece.gr</Manager>
  <Company>Bank of Greece</Company>
  <LinksUpToDate>false</LinksUpToDate>
  <CharactersWithSpaces>5816</CharactersWithSpaces>
  <SharedDoc>false</SharedDoc>
  <HLinks>
    <vt:vector size="36" baseType="variant"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https://www.bankofgreece.gr/statistika/nomismatikh-kai-trapezikh-statistiki/katatheseis-twn-pistwtikwn-idrymatwn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https://www.bankofgreece.gr/statistika/nomismatikh-kai-trapezikh-statistiki/xrhmatodothsh-ths-ellhnikhs-oikonomias</vt:lpwstr>
      </vt:variant>
      <vt:variant>
        <vt:lpwstr/>
      </vt:variant>
      <vt:variant>
        <vt:i4>4718659</vt:i4>
      </vt:variant>
      <vt:variant>
        <vt:i4>3</vt:i4>
      </vt:variant>
      <vt:variant>
        <vt:i4>0</vt:i4>
      </vt:variant>
      <vt:variant>
        <vt:i4>5</vt:i4>
      </vt:variant>
      <vt:variant>
        <vt:lpwstr>https://www.bankofgreece.gr/statistika/nomismatikh-kai-trapezikh-statistiki/katatheseis-twn-pistwtikwn-idrymatwn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https://www.bankofgreece.gr/statistika/nomismatikh-kai-trapezikh-statistiki/xrhmatodothsh-ths-ellhnikhs-oikonomias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mailto:press@bankofgreece.gr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 Section</dc:creator>
  <cp:lastModifiedBy>Marmarou Ioanna</cp:lastModifiedBy>
  <cp:revision>2</cp:revision>
  <cp:lastPrinted>2023-04-28T09:04:00Z</cp:lastPrinted>
  <dcterms:created xsi:type="dcterms:W3CDTF">2023-05-02T08:08:00Z</dcterms:created>
  <dcterms:modified xsi:type="dcterms:W3CDTF">2023-05-02T08:08:00Z</dcterms:modified>
</cp:coreProperties>
</file>