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9721" w14:textId="3ECFFEBD" w:rsidR="000869EA" w:rsidRPr="00676513" w:rsidRDefault="00D65EE2" w:rsidP="004F205A">
      <w:pPr>
        <w:ind w:left="-142" w:right="-483"/>
        <w:rPr>
          <w:color w:val="021342"/>
        </w:rPr>
      </w:pPr>
      <w:r w:rsidRPr="00676513">
        <w:rPr>
          <w:color w:val="021342"/>
        </w:rPr>
        <w:softHyphen/>
      </w:r>
      <w:r w:rsidRPr="00676513">
        <w:rPr>
          <w:color w:val="021342"/>
        </w:rPr>
        <w:softHyphen/>
      </w:r>
      <w:r w:rsidRPr="00676513">
        <w:rPr>
          <w:color w:val="021342"/>
        </w:rPr>
        <w:softHyphen/>
      </w:r>
      <w:r w:rsidRPr="00676513">
        <w:rPr>
          <w:color w:val="021342"/>
        </w:rPr>
        <w:softHyphen/>
      </w:r>
      <w:r w:rsidRPr="00676513">
        <w:rPr>
          <w:color w:val="021342"/>
        </w:rPr>
        <w:softHyphen/>
      </w:r>
      <w:r w:rsidR="004F205A" w:rsidRPr="00676513">
        <w:rPr>
          <w:color w:val="021342"/>
        </w:rPr>
        <w:tab/>
      </w:r>
      <w:r w:rsidR="004F205A" w:rsidRPr="00676513">
        <w:rPr>
          <w:color w:val="021342"/>
        </w:rPr>
        <w:tab/>
      </w:r>
      <w:r w:rsidR="004F205A" w:rsidRPr="00676513">
        <w:rPr>
          <w:color w:val="021342"/>
        </w:rPr>
        <w:tab/>
      </w:r>
      <w:r w:rsidR="004F205A" w:rsidRPr="00676513">
        <w:rPr>
          <w:color w:val="021342"/>
        </w:rPr>
        <w:tab/>
      </w:r>
      <w:r w:rsidR="004F205A" w:rsidRPr="00676513">
        <w:rPr>
          <w:color w:val="021342"/>
        </w:rPr>
        <w:tab/>
      </w:r>
      <w:r w:rsidR="004F205A" w:rsidRPr="00676513">
        <w:rPr>
          <w:color w:val="021342"/>
        </w:rPr>
        <w:tab/>
      </w:r>
      <w:r w:rsidR="004F205A" w:rsidRPr="00676513">
        <w:rPr>
          <w:color w:val="021342"/>
        </w:rPr>
        <w:tab/>
      </w:r>
      <w:r w:rsidR="004F205A" w:rsidRPr="00676513">
        <w:rPr>
          <w:color w:val="021342"/>
        </w:rPr>
        <w:tab/>
      </w:r>
      <w:r w:rsidR="004F205A" w:rsidRPr="00676513">
        <w:rPr>
          <w:color w:val="021342"/>
        </w:rPr>
        <w:tab/>
        <w:t xml:space="preserve">             </w:t>
      </w:r>
      <w:r w:rsidR="000869EA" w:rsidRPr="00676513">
        <w:rPr>
          <w:rFonts w:ascii="Eurobank Sans" w:hAnsi="Eurobank Sans"/>
          <w:color w:val="021342"/>
          <w:sz w:val="20"/>
          <w:szCs w:val="20"/>
        </w:rPr>
        <w:t>Αθήνα, 2</w:t>
      </w:r>
      <w:r w:rsidR="00F830FC" w:rsidRPr="0099036D">
        <w:rPr>
          <w:rFonts w:ascii="Eurobank Sans" w:hAnsi="Eurobank Sans"/>
          <w:color w:val="021342"/>
          <w:sz w:val="20"/>
          <w:szCs w:val="20"/>
        </w:rPr>
        <w:t>7</w:t>
      </w:r>
      <w:r w:rsidR="000869EA" w:rsidRPr="00676513">
        <w:rPr>
          <w:rFonts w:ascii="Eurobank Sans" w:hAnsi="Eurobank Sans"/>
          <w:color w:val="021342"/>
          <w:sz w:val="20"/>
          <w:szCs w:val="20"/>
        </w:rPr>
        <w:t xml:space="preserve"> </w:t>
      </w:r>
      <w:r w:rsidR="00F830FC">
        <w:rPr>
          <w:rFonts w:ascii="Eurobank Sans" w:hAnsi="Eurobank Sans"/>
          <w:color w:val="021342"/>
          <w:sz w:val="20"/>
          <w:szCs w:val="20"/>
        </w:rPr>
        <w:t>Μαρτίου</w:t>
      </w:r>
      <w:r w:rsidR="000869EA" w:rsidRPr="00676513">
        <w:rPr>
          <w:rFonts w:ascii="Eurobank Sans" w:hAnsi="Eurobank Sans"/>
          <w:color w:val="021342"/>
          <w:sz w:val="20"/>
          <w:szCs w:val="20"/>
        </w:rPr>
        <w:t xml:space="preserve"> 202</w:t>
      </w:r>
      <w:r w:rsidR="00F830FC">
        <w:rPr>
          <w:rFonts w:ascii="Eurobank Sans" w:hAnsi="Eurobank Sans"/>
          <w:color w:val="021342"/>
          <w:sz w:val="20"/>
          <w:szCs w:val="20"/>
        </w:rPr>
        <w:t>3</w:t>
      </w:r>
    </w:p>
    <w:p w14:paraId="0B497FDE" w14:textId="77777777" w:rsidR="00E148E4" w:rsidRPr="00676513" w:rsidRDefault="00E148E4" w:rsidP="000869EA">
      <w:pPr>
        <w:tabs>
          <w:tab w:val="left" w:pos="3645"/>
        </w:tabs>
        <w:rPr>
          <w:rFonts w:ascii="Eurobank Sans" w:hAnsi="Eurobank Sans"/>
          <w:b/>
          <w:color w:val="021342"/>
          <w:sz w:val="26"/>
          <w:szCs w:val="26"/>
        </w:rPr>
      </w:pPr>
    </w:p>
    <w:p w14:paraId="1DBB27F0" w14:textId="77777777" w:rsidR="000869EA" w:rsidRPr="00676513" w:rsidRDefault="000869EA" w:rsidP="00714600">
      <w:pPr>
        <w:tabs>
          <w:tab w:val="left" w:pos="-142"/>
        </w:tabs>
        <w:ind w:left="-142" w:right="-454"/>
        <w:rPr>
          <w:rFonts w:ascii="Eurobank Sans" w:hAnsi="Eurobank Sans"/>
          <w:b/>
          <w:color w:val="021342"/>
          <w:sz w:val="26"/>
          <w:szCs w:val="26"/>
        </w:rPr>
      </w:pPr>
    </w:p>
    <w:p w14:paraId="2FF7F62F" w14:textId="77777777" w:rsidR="00E148E4" w:rsidRPr="00676513" w:rsidRDefault="00E148E4" w:rsidP="00E148E4">
      <w:pPr>
        <w:tabs>
          <w:tab w:val="left" w:pos="-142"/>
        </w:tabs>
        <w:ind w:left="-142" w:right="-454"/>
        <w:jc w:val="center"/>
        <w:rPr>
          <w:rFonts w:ascii="Eurobank Sans" w:hAnsi="Eurobank Sans"/>
          <w:b/>
          <w:color w:val="021342"/>
          <w:sz w:val="30"/>
          <w:szCs w:val="30"/>
        </w:rPr>
      </w:pPr>
      <w:r w:rsidRPr="00676513">
        <w:rPr>
          <w:rFonts w:ascii="Eurobank Sans" w:hAnsi="Eurobank Sans"/>
          <w:b/>
          <w:color w:val="021342"/>
          <w:sz w:val="30"/>
          <w:szCs w:val="30"/>
        </w:rPr>
        <w:t>ΔΕΛΤΙΟ ΤΥΠΟΥ</w:t>
      </w:r>
    </w:p>
    <w:p w14:paraId="56AC344D" w14:textId="77777777" w:rsidR="00E148E4" w:rsidRPr="00676513" w:rsidRDefault="00E148E4" w:rsidP="00E148E4">
      <w:pPr>
        <w:tabs>
          <w:tab w:val="left" w:pos="-142"/>
        </w:tabs>
        <w:ind w:left="-142" w:right="-454"/>
        <w:rPr>
          <w:rFonts w:ascii="Eurobank Sans" w:hAnsi="Eurobank Sans"/>
          <w:color w:val="021342"/>
        </w:rPr>
      </w:pPr>
    </w:p>
    <w:p w14:paraId="3850E0B4" w14:textId="77777777" w:rsidR="00676513" w:rsidRPr="00676513" w:rsidRDefault="00676513" w:rsidP="00676513">
      <w:pPr>
        <w:tabs>
          <w:tab w:val="left" w:pos="-142"/>
        </w:tabs>
        <w:ind w:left="-142" w:right="-454"/>
        <w:jc w:val="center"/>
        <w:rPr>
          <w:rFonts w:ascii="Eurobank Sans" w:hAnsi="Eurobank Sans"/>
          <w:color w:val="021342"/>
        </w:rPr>
      </w:pPr>
      <w:r w:rsidRPr="00676513">
        <w:rPr>
          <w:rFonts w:ascii="Eurobank Sans" w:hAnsi="Eurobank Sans"/>
          <w:color w:val="021342"/>
        </w:rPr>
        <w:t>Δάνεια εταιρίας «ΔΟΜΟΠΟΛΙΣ» και σχετικές νομικές ενέργειες</w:t>
      </w:r>
    </w:p>
    <w:p w14:paraId="11C91855" w14:textId="2A417624" w:rsidR="00676513" w:rsidRPr="00676513" w:rsidRDefault="00676513" w:rsidP="00676513">
      <w:pPr>
        <w:tabs>
          <w:tab w:val="left" w:pos="-142"/>
        </w:tabs>
        <w:ind w:left="-142" w:right="-454"/>
        <w:jc w:val="center"/>
        <w:rPr>
          <w:rFonts w:ascii="Eurobank Sans" w:hAnsi="Eurobank Sans"/>
          <w:color w:val="021342"/>
        </w:rPr>
      </w:pPr>
      <w:r w:rsidRPr="00676513">
        <w:rPr>
          <w:rFonts w:ascii="Eurobank Sans" w:hAnsi="Eurobank Sans"/>
          <w:color w:val="021342"/>
        </w:rPr>
        <w:t>•</w:t>
      </w:r>
      <w:r w:rsidRPr="00676513">
        <w:rPr>
          <w:rFonts w:ascii="Eurobank Sans" w:hAnsi="Eurobank Sans"/>
          <w:color w:val="021342"/>
        </w:rPr>
        <w:tab/>
        <w:t>Ανάκτηση του 75% του κεφαλαίου της αρχικής πίστωσης</w:t>
      </w:r>
    </w:p>
    <w:p w14:paraId="12E6D674" w14:textId="77777777" w:rsidR="00676513" w:rsidRPr="00676513" w:rsidRDefault="00676513" w:rsidP="00676513">
      <w:pPr>
        <w:tabs>
          <w:tab w:val="left" w:pos="-142"/>
        </w:tabs>
        <w:ind w:left="-142" w:right="-454"/>
        <w:jc w:val="center"/>
        <w:rPr>
          <w:rFonts w:ascii="Eurobank Sans" w:hAnsi="Eurobank Sans"/>
          <w:color w:val="021342"/>
        </w:rPr>
      </w:pPr>
      <w:r w:rsidRPr="00676513">
        <w:rPr>
          <w:rFonts w:ascii="Eurobank Sans" w:hAnsi="Eurobank Sans"/>
          <w:color w:val="021342"/>
        </w:rPr>
        <w:t>•</w:t>
      </w:r>
      <w:r w:rsidRPr="00676513">
        <w:rPr>
          <w:rFonts w:ascii="Eurobank Sans" w:hAnsi="Eurobank Sans"/>
          <w:color w:val="021342"/>
        </w:rPr>
        <w:tab/>
        <w:t xml:space="preserve">Εξάντληση όλων των σχετικών νομικών ενεργειών (καταγγελία σύμβασης, έκδοση διαταγής πληρωμής, </w:t>
      </w:r>
      <w:proofErr w:type="spellStart"/>
      <w:r w:rsidRPr="00676513">
        <w:rPr>
          <w:rFonts w:ascii="Eurobank Sans" w:hAnsi="Eurobank Sans"/>
          <w:color w:val="021342"/>
        </w:rPr>
        <w:t>εκπλειστηρίαση</w:t>
      </w:r>
      <w:proofErr w:type="spellEnd"/>
      <w:r w:rsidRPr="00676513">
        <w:rPr>
          <w:rFonts w:ascii="Eurobank Sans" w:hAnsi="Eurobank Sans"/>
          <w:color w:val="021342"/>
        </w:rPr>
        <w:t xml:space="preserve"> ακινήτων, αγωγές κατά των εγγυητών, αναδιάρθρωση Πιστούχου μέσω του Πτωχευτικού Κώδικα κ.ά.)</w:t>
      </w:r>
    </w:p>
    <w:p w14:paraId="3CBDDAF6" w14:textId="77777777" w:rsidR="00676513" w:rsidRPr="00676513" w:rsidRDefault="00676513" w:rsidP="00676513">
      <w:pPr>
        <w:tabs>
          <w:tab w:val="left" w:pos="-142"/>
        </w:tabs>
        <w:ind w:left="-142" w:right="-454"/>
        <w:jc w:val="both"/>
        <w:rPr>
          <w:rFonts w:ascii="Eurobank Sans" w:hAnsi="Eurobank Sans"/>
          <w:color w:val="021342"/>
        </w:rPr>
      </w:pPr>
    </w:p>
    <w:p w14:paraId="5A85D965" w14:textId="77777777" w:rsidR="00676513" w:rsidRPr="00676513" w:rsidRDefault="00676513" w:rsidP="00676513">
      <w:pPr>
        <w:tabs>
          <w:tab w:val="left" w:pos="-142"/>
        </w:tabs>
        <w:ind w:left="-142" w:right="-454"/>
        <w:jc w:val="both"/>
        <w:rPr>
          <w:rFonts w:ascii="Eurobank Sans" w:hAnsi="Eurobank Sans"/>
          <w:color w:val="021342"/>
        </w:rPr>
      </w:pPr>
      <w:r w:rsidRPr="00676513">
        <w:rPr>
          <w:rFonts w:ascii="Eurobank Sans" w:hAnsi="Eurobank Sans"/>
          <w:color w:val="021342"/>
        </w:rPr>
        <w:t xml:space="preserve">Σχετικά με δημοσιεύματα που αφορούν δανειακή σύμβαση μεταξύ της εταιρίας «ΔΟΜΟΠΟΛΙΣ </w:t>
      </w:r>
      <w:r w:rsidRPr="00676513">
        <w:rPr>
          <w:rFonts w:ascii="Eurobank Sans" w:hAnsi="Eurobank Sans"/>
          <w:color w:val="021342"/>
          <w:lang w:val="en-US"/>
        </w:rPr>
        <w:t>S</w:t>
      </w:r>
      <w:r w:rsidRPr="00676513">
        <w:rPr>
          <w:rFonts w:ascii="Eurobank Sans" w:hAnsi="Eurobank Sans"/>
          <w:color w:val="021342"/>
        </w:rPr>
        <w:t>.</w:t>
      </w:r>
      <w:r w:rsidRPr="00676513">
        <w:rPr>
          <w:rFonts w:ascii="Eurobank Sans" w:hAnsi="Eurobank Sans"/>
          <w:color w:val="021342"/>
          <w:lang w:val="en-US"/>
        </w:rPr>
        <w:t>P</w:t>
      </w:r>
      <w:r w:rsidRPr="00676513">
        <w:rPr>
          <w:rFonts w:ascii="Eurobank Sans" w:hAnsi="Eurobank Sans"/>
          <w:color w:val="021342"/>
        </w:rPr>
        <w:t xml:space="preserve">. ΤΕΧΝΙΚΗ ΑΝΩΝΥΜΗ ΕΤΑΙΡΙΑ» και της </w:t>
      </w:r>
      <w:r w:rsidRPr="00676513">
        <w:rPr>
          <w:rFonts w:ascii="Eurobank Sans" w:hAnsi="Eurobank Sans"/>
          <w:color w:val="021342"/>
          <w:lang w:val="en-US"/>
        </w:rPr>
        <w:t>Eurobank</w:t>
      </w:r>
      <w:r w:rsidRPr="00676513">
        <w:rPr>
          <w:rFonts w:ascii="Eurobank Sans" w:hAnsi="Eurobank Sans"/>
          <w:color w:val="021342"/>
        </w:rPr>
        <w:t>, σημειώνονται τα εξής:</w:t>
      </w:r>
    </w:p>
    <w:p w14:paraId="5BF1E336" w14:textId="24349EE9" w:rsid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lang w:val="en-US"/>
        </w:rPr>
        <w:t>H</w:t>
      </w:r>
      <w:r w:rsidRPr="00676513">
        <w:rPr>
          <w:rFonts w:ascii="Eurobank Sans" w:hAnsi="Eurobank Sans"/>
          <w:color w:val="021342"/>
        </w:rPr>
        <w:t xml:space="preserve"> </w:t>
      </w:r>
      <w:r w:rsidRPr="00676513">
        <w:rPr>
          <w:rFonts w:ascii="Eurobank Sans" w:hAnsi="Eurobank Sans"/>
          <w:color w:val="021342"/>
          <w:lang w:val="en-US"/>
        </w:rPr>
        <w:t>Eurobank</w:t>
      </w:r>
      <w:r w:rsidRPr="00676513">
        <w:rPr>
          <w:rFonts w:ascii="Eurobank Sans" w:hAnsi="Eurobank Sans"/>
          <w:color w:val="021342"/>
        </w:rPr>
        <w:t xml:space="preserve"> (Τράπεζα) χορήγησε το </w:t>
      </w:r>
      <w:proofErr w:type="gramStart"/>
      <w:r w:rsidRPr="00676513">
        <w:rPr>
          <w:rFonts w:ascii="Eurobank Sans" w:hAnsi="Eurobank Sans"/>
          <w:color w:val="021342"/>
        </w:rPr>
        <w:t>2005  πίστωση</w:t>
      </w:r>
      <w:proofErr w:type="gramEnd"/>
      <w:r w:rsidRPr="00676513">
        <w:rPr>
          <w:rFonts w:ascii="Eurobank Sans" w:hAnsi="Eurobank Sans"/>
          <w:color w:val="021342"/>
        </w:rPr>
        <w:t xml:space="preserve"> ύψους €1.500.000 στην εταιρεία με την επωνυμία «ΔΟΜΟΠΟΛΙΣ </w:t>
      </w:r>
      <w:r w:rsidRPr="00676513">
        <w:rPr>
          <w:rFonts w:ascii="Eurobank Sans" w:hAnsi="Eurobank Sans"/>
          <w:color w:val="021342"/>
          <w:lang w:val="en-US"/>
        </w:rPr>
        <w:t>S</w:t>
      </w:r>
      <w:r w:rsidRPr="00676513">
        <w:rPr>
          <w:rFonts w:ascii="Eurobank Sans" w:hAnsi="Eurobank Sans"/>
          <w:color w:val="021342"/>
        </w:rPr>
        <w:t>.</w:t>
      </w:r>
      <w:r w:rsidRPr="00676513">
        <w:rPr>
          <w:rFonts w:ascii="Eurobank Sans" w:hAnsi="Eurobank Sans"/>
          <w:color w:val="021342"/>
          <w:lang w:val="en-US"/>
        </w:rPr>
        <w:t>P</w:t>
      </w:r>
      <w:r w:rsidRPr="00676513">
        <w:rPr>
          <w:rFonts w:ascii="Eurobank Sans" w:hAnsi="Eurobank Sans"/>
          <w:color w:val="021342"/>
        </w:rPr>
        <w:t xml:space="preserve">. ΤΕΧΝΙΚΗ ΑΝΩΝΥΜΗ ΕΤΑΙΡΕΙΑ» (Πιστούχος), εγγράφοντας προσημείωση υποθήκης σε ακίνητα ιδιοκτησίας της. Το 2007 το ποσό της πίστωσης αυξήθηκε κατά 500.000 σε 2.000.000 ευρώ, οπότε καταρτίστηκε και σύμβαση εγγυήσεως με τον κ.  Νικόλαο Παπαθανάση (Εγγυητής). </w:t>
      </w:r>
    </w:p>
    <w:p w14:paraId="11C106BF" w14:textId="77777777" w:rsidR="00676513" w:rsidRPr="00676513" w:rsidRDefault="00676513" w:rsidP="00676513">
      <w:pPr>
        <w:pStyle w:val="ListParagraph"/>
        <w:tabs>
          <w:tab w:val="left" w:pos="-142"/>
        </w:tabs>
        <w:ind w:left="578" w:right="-454"/>
        <w:jc w:val="both"/>
        <w:rPr>
          <w:rFonts w:ascii="Eurobank Sans" w:hAnsi="Eurobank Sans"/>
          <w:color w:val="021342"/>
        </w:rPr>
      </w:pPr>
    </w:p>
    <w:p w14:paraId="082D2664" w14:textId="560DD6CA" w:rsid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rPr>
        <w:t xml:space="preserve">Επί σειρά ετών το εν λόγω δάνειο εξυπηρετήθηκε κανονικά, με καταβολή των συμβατικών τόκων και αποπληρωμές κεφαλαίου. </w:t>
      </w:r>
    </w:p>
    <w:p w14:paraId="54C12805" w14:textId="77777777" w:rsidR="00676513" w:rsidRPr="00676513" w:rsidRDefault="00676513" w:rsidP="00676513">
      <w:pPr>
        <w:pStyle w:val="ListParagraph"/>
        <w:rPr>
          <w:rFonts w:ascii="Eurobank Sans" w:hAnsi="Eurobank Sans"/>
          <w:color w:val="021342"/>
        </w:rPr>
      </w:pPr>
    </w:p>
    <w:p w14:paraId="6BF5EE3A" w14:textId="77777777" w:rsidR="00676513" w:rsidRPr="00676513" w:rsidRDefault="00676513" w:rsidP="00676513">
      <w:pPr>
        <w:pStyle w:val="ListParagraph"/>
        <w:tabs>
          <w:tab w:val="left" w:pos="-142"/>
        </w:tabs>
        <w:ind w:left="578" w:right="-454"/>
        <w:jc w:val="both"/>
        <w:rPr>
          <w:rFonts w:ascii="Eurobank Sans" w:hAnsi="Eurobank Sans"/>
          <w:color w:val="021342"/>
        </w:rPr>
      </w:pPr>
    </w:p>
    <w:p w14:paraId="33C516DA" w14:textId="1772EC6D" w:rsid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rPr>
        <w:t>Στις 28.8.2015, η Τράπεζα κατήγγειλε τη σύμβαση με συνολική λογιστική απαίτηση ύψους €1.054.674 πλέον τόκων υπερημερίας (σύνολο €1.458.548) και δρομολόγησε όλα τα προβλεπόμενα από το νόμο μέτρα, με σκοπό τη μέγιστη δυνατή ανάκτηση του δανείου, όπως έκδοση διαταγής πληρωμής, αγωγές διάρρηξης, πλειστηριασμούς, εξυγίανση της Πιστούχου κ.λπ. Συγκεκριμένα:</w:t>
      </w:r>
    </w:p>
    <w:p w14:paraId="2EE4D1D0" w14:textId="77777777" w:rsidR="00676513" w:rsidRPr="00676513" w:rsidRDefault="00676513" w:rsidP="00676513">
      <w:pPr>
        <w:pStyle w:val="ListParagraph"/>
        <w:tabs>
          <w:tab w:val="left" w:pos="-142"/>
        </w:tabs>
        <w:ind w:left="578" w:right="-454"/>
        <w:jc w:val="both"/>
        <w:rPr>
          <w:rFonts w:ascii="Eurobank Sans" w:hAnsi="Eurobank Sans"/>
          <w:color w:val="021342"/>
        </w:rPr>
      </w:pPr>
    </w:p>
    <w:p w14:paraId="2FE1A135" w14:textId="32035824" w:rsid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rPr>
        <w:t>Το 2015 εκδόθηκε διαταγή πληρωμής του Μονομελούς Πρωτοδικείου Αθηνών για το παραπάνω ποσό.</w:t>
      </w:r>
    </w:p>
    <w:p w14:paraId="06BFD389" w14:textId="77777777" w:rsidR="00676513" w:rsidRPr="00676513" w:rsidRDefault="00676513" w:rsidP="00676513">
      <w:pPr>
        <w:pStyle w:val="ListParagraph"/>
        <w:rPr>
          <w:rFonts w:ascii="Eurobank Sans" w:hAnsi="Eurobank Sans"/>
          <w:color w:val="021342"/>
        </w:rPr>
      </w:pPr>
    </w:p>
    <w:p w14:paraId="45591D24" w14:textId="77777777" w:rsidR="00676513" w:rsidRPr="00676513" w:rsidRDefault="00676513" w:rsidP="00676513">
      <w:pPr>
        <w:pStyle w:val="ListParagraph"/>
        <w:tabs>
          <w:tab w:val="left" w:pos="-142"/>
        </w:tabs>
        <w:ind w:left="578" w:right="-454"/>
        <w:jc w:val="both"/>
        <w:rPr>
          <w:rFonts w:ascii="Eurobank Sans" w:hAnsi="Eurobank Sans"/>
          <w:color w:val="021342"/>
        </w:rPr>
      </w:pPr>
    </w:p>
    <w:p w14:paraId="42D07DD5" w14:textId="4DA3D623" w:rsid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rPr>
        <w:t xml:space="preserve">Το ίδιο έτος 2015, η Τράπεζα άσκησε αγωγή κατά του Εγγυητή για τη μεταβίβαση λόγω γονικής παροχής (2011) της κυριότητας του ½ εξ αδιαιρέτου ακινήτων ιδιοκτησίας του στο Αγρίνιο (αγροτεμάχια) και την Καλλιθέα (αποθήκη). Ενόψει της αγωγής, η κυριότητα των ακινήτων </w:t>
      </w:r>
      <w:proofErr w:type="spellStart"/>
      <w:r w:rsidRPr="00676513">
        <w:rPr>
          <w:rFonts w:ascii="Eurobank Sans" w:hAnsi="Eurobank Sans"/>
          <w:color w:val="021342"/>
        </w:rPr>
        <w:t>αναμεταβιβάστηκε</w:t>
      </w:r>
      <w:proofErr w:type="spellEnd"/>
      <w:r w:rsidRPr="00676513">
        <w:rPr>
          <w:rFonts w:ascii="Eurobank Sans" w:hAnsi="Eurobank Sans"/>
          <w:color w:val="021342"/>
        </w:rPr>
        <w:t xml:space="preserve"> στον Εγγυητή και η Τράπεζα ενέγραψε προσημείωση υποθήκης για 60.000 ευρώ, ποσό αντίστοιχο της αξίας των αγροτεμαχίων, ενώ για την μικρής αξίας αποθήκη ο Εγγυητής κατέβαλε ποσό σε μετρητά.   </w:t>
      </w:r>
    </w:p>
    <w:p w14:paraId="215ACBC4" w14:textId="77777777" w:rsidR="00676513" w:rsidRPr="00676513" w:rsidRDefault="00676513" w:rsidP="00676513">
      <w:pPr>
        <w:pStyle w:val="ListParagraph"/>
        <w:tabs>
          <w:tab w:val="left" w:pos="-142"/>
        </w:tabs>
        <w:ind w:left="578" w:right="-454"/>
        <w:jc w:val="both"/>
        <w:rPr>
          <w:rFonts w:ascii="Eurobank Sans" w:hAnsi="Eurobank Sans"/>
          <w:color w:val="021342"/>
        </w:rPr>
      </w:pPr>
    </w:p>
    <w:p w14:paraId="537822FA" w14:textId="3347E9E2" w:rsid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rPr>
        <w:t xml:space="preserve">Το Δεκέμβριο του 2015, η Τράπεζα άσκησε αγωγή κατά του Εγγυητή για τη μεταβίβαση με γονική παροχή (2010) του ½ εξ αδιαιρέτου διαμερίσματος 102,5 τ.μ.,  4ου ορόφου, στη Ν. Σμύρνη, με θέση στάθμευσης και αποθήκη. Το διαμέρισμα </w:t>
      </w:r>
      <w:proofErr w:type="spellStart"/>
      <w:r w:rsidRPr="00676513">
        <w:rPr>
          <w:rFonts w:ascii="Eurobank Sans" w:hAnsi="Eurobank Sans"/>
          <w:color w:val="021342"/>
        </w:rPr>
        <w:t>βαρυνόταν</w:t>
      </w:r>
      <w:proofErr w:type="spellEnd"/>
      <w:r w:rsidRPr="00676513">
        <w:rPr>
          <w:rFonts w:ascii="Eurobank Sans" w:hAnsi="Eurobank Sans"/>
          <w:color w:val="021342"/>
        </w:rPr>
        <w:t xml:space="preserve"> ήδη με πρώτη προσημείωση υπέρ άλλου πιστωτικού ιδρύματος.  Το 2020, εκδόθηκε η απόφαση του Πολυμελούς Πρωτοδικείου Αθηνών, η οποία έκανε δεκτή την αγωγή. Ασκήθηκε έφεση </w:t>
      </w:r>
      <w:r w:rsidRPr="00676513">
        <w:rPr>
          <w:rFonts w:ascii="Eurobank Sans" w:hAnsi="Eurobank Sans"/>
          <w:color w:val="021342"/>
        </w:rPr>
        <w:lastRenderedPageBreak/>
        <w:t xml:space="preserve">από τον Εγγυητή και λίγο αργότερα καταρτίστηκε συμφωνία μεταξύ του Εγγυητή και της  </w:t>
      </w:r>
      <w:r w:rsidRPr="00676513">
        <w:rPr>
          <w:rFonts w:ascii="Eurobank Sans" w:hAnsi="Eurobank Sans"/>
          <w:color w:val="021342"/>
          <w:lang w:val="en-US"/>
        </w:rPr>
        <w:t>doValue</w:t>
      </w:r>
      <w:r w:rsidRPr="00676513">
        <w:rPr>
          <w:rFonts w:ascii="Eurobank Sans" w:hAnsi="Eurobank Sans"/>
          <w:color w:val="021342"/>
        </w:rPr>
        <w:t xml:space="preserve"> </w:t>
      </w:r>
      <w:r w:rsidRPr="00676513">
        <w:rPr>
          <w:rFonts w:ascii="Eurobank Sans" w:hAnsi="Eurobank Sans"/>
          <w:color w:val="021342"/>
          <w:lang w:val="en-US"/>
        </w:rPr>
        <w:t>Greece</w:t>
      </w:r>
      <w:r w:rsidRPr="00676513">
        <w:rPr>
          <w:rFonts w:ascii="Eurobank Sans" w:hAnsi="Eurobank Sans"/>
          <w:color w:val="021342"/>
        </w:rPr>
        <w:t xml:space="preserve">, ως διαχειρίστρια του ειδικού διαδόχου της Τράπεζας, για την καταβολή από τον Εγγυητή ποσού σε μετρητά. Το σχετικό ποσό υπερβαίνει αυτό που θα μπορούσε να διεκδικηθεί μέσω αναγκαστικής εκποίησης, λαμβανομένου υπόψη και της ύπαρξης προσημείωσης υπέρ άλλου πιστωτή που προηγείται στη σειρά κατάταξης. </w:t>
      </w:r>
    </w:p>
    <w:p w14:paraId="18AF3F2E" w14:textId="77777777" w:rsidR="00676513" w:rsidRPr="00676513" w:rsidRDefault="00676513" w:rsidP="00676513">
      <w:pPr>
        <w:pStyle w:val="ListParagraph"/>
        <w:rPr>
          <w:rFonts w:ascii="Eurobank Sans" w:hAnsi="Eurobank Sans"/>
          <w:color w:val="021342"/>
        </w:rPr>
      </w:pPr>
    </w:p>
    <w:p w14:paraId="68E4481C" w14:textId="77777777" w:rsidR="00676513" w:rsidRPr="00676513" w:rsidRDefault="00676513" w:rsidP="00676513">
      <w:pPr>
        <w:pStyle w:val="ListParagraph"/>
        <w:tabs>
          <w:tab w:val="left" w:pos="-142"/>
        </w:tabs>
        <w:ind w:left="578" w:right="-454"/>
        <w:jc w:val="both"/>
        <w:rPr>
          <w:rFonts w:ascii="Eurobank Sans" w:hAnsi="Eurobank Sans"/>
          <w:color w:val="021342"/>
        </w:rPr>
      </w:pPr>
    </w:p>
    <w:p w14:paraId="42E2BF6A" w14:textId="7BD463A0" w:rsid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rPr>
        <w:t>Το 2018, η Τράπεζα εκπλειστηρίασε τέσσερα ακίνητα ιδιοκτησίας της Πιστούχου.</w:t>
      </w:r>
    </w:p>
    <w:p w14:paraId="1DFEE411" w14:textId="77777777" w:rsidR="00676513" w:rsidRPr="00676513" w:rsidRDefault="00676513" w:rsidP="00676513">
      <w:pPr>
        <w:pStyle w:val="ListParagraph"/>
        <w:tabs>
          <w:tab w:val="left" w:pos="-142"/>
        </w:tabs>
        <w:ind w:left="578" w:right="-454"/>
        <w:jc w:val="both"/>
        <w:rPr>
          <w:rFonts w:ascii="Eurobank Sans" w:hAnsi="Eurobank Sans"/>
          <w:color w:val="021342"/>
        </w:rPr>
      </w:pPr>
    </w:p>
    <w:p w14:paraId="0FD6233F" w14:textId="56802C3A" w:rsid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rPr>
        <w:t xml:space="preserve">Παράλληλα, σήμερα βρίσκεται σε εξέλιξη διαδικασία εξυγίανσης της Πιστούχου, με είσοδο τρίτου επενδυτή, στο πλαίσιο του Άρθρου 106 του Πτωχευτικού Κώδικα. Σύμφωνα με τους όρους του σχεδίου εξυγίανσης, η </w:t>
      </w:r>
      <w:r w:rsidRPr="00676513">
        <w:rPr>
          <w:rFonts w:ascii="Eurobank Sans" w:hAnsi="Eurobank Sans"/>
          <w:color w:val="021342"/>
          <w:lang w:val="en-US"/>
        </w:rPr>
        <w:t>doValue</w:t>
      </w:r>
      <w:r w:rsidRPr="00676513">
        <w:rPr>
          <w:rFonts w:ascii="Eurobank Sans" w:hAnsi="Eurobank Sans"/>
          <w:color w:val="021342"/>
        </w:rPr>
        <w:t xml:space="preserve"> </w:t>
      </w:r>
      <w:r w:rsidRPr="00676513">
        <w:rPr>
          <w:rFonts w:ascii="Eurobank Sans" w:hAnsi="Eurobank Sans"/>
          <w:color w:val="021342"/>
          <w:lang w:val="en-US"/>
        </w:rPr>
        <w:t>Greece</w:t>
      </w:r>
      <w:r w:rsidRPr="00676513">
        <w:rPr>
          <w:rFonts w:ascii="Eurobank Sans" w:hAnsi="Eurobank Sans"/>
          <w:color w:val="021342"/>
        </w:rPr>
        <w:t xml:space="preserve"> θα λάβει επιπλέον ποσό σε μετρητά </w:t>
      </w:r>
      <w:proofErr w:type="spellStart"/>
      <w:r w:rsidRPr="00676513">
        <w:rPr>
          <w:rFonts w:ascii="Eurobank Sans" w:hAnsi="Eurobank Sans"/>
          <w:color w:val="021342"/>
        </w:rPr>
        <w:t>κατ’αναλογία</w:t>
      </w:r>
      <w:proofErr w:type="spellEnd"/>
      <w:r w:rsidRPr="00676513">
        <w:rPr>
          <w:rFonts w:ascii="Eurobank Sans" w:hAnsi="Eurobank Sans"/>
          <w:color w:val="021342"/>
        </w:rPr>
        <w:t xml:space="preserve">, σε σχέση με  την ανωτέρω πίστωση. </w:t>
      </w:r>
    </w:p>
    <w:p w14:paraId="05B6F223" w14:textId="77777777" w:rsidR="00676513" w:rsidRPr="00676513" w:rsidRDefault="00676513" w:rsidP="00676513">
      <w:pPr>
        <w:pStyle w:val="ListParagraph"/>
        <w:rPr>
          <w:rFonts w:ascii="Eurobank Sans" w:hAnsi="Eurobank Sans"/>
          <w:color w:val="021342"/>
        </w:rPr>
      </w:pPr>
    </w:p>
    <w:p w14:paraId="0E2D94ED" w14:textId="77777777" w:rsidR="00676513" w:rsidRPr="00676513" w:rsidRDefault="00676513" w:rsidP="00676513">
      <w:pPr>
        <w:pStyle w:val="ListParagraph"/>
        <w:tabs>
          <w:tab w:val="left" w:pos="-142"/>
        </w:tabs>
        <w:ind w:left="578" w:right="-454"/>
        <w:jc w:val="both"/>
        <w:rPr>
          <w:rFonts w:ascii="Eurobank Sans" w:hAnsi="Eurobank Sans"/>
          <w:color w:val="021342"/>
        </w:rPr>
      </w:pPr>
    </w:p>
    <w:p w14:paraId="2512E448" w14:textId="11054B9F" w:rsidR="00676513" w:rsidRPr="00676513" w:rsidRDefault="00676513" w:rsidP="00676513">
      <w:pPr>
        <w:pStyle w:val="ListParagraph"/>
        <w:numPr>
          <w:ilvl w:val="0"/>
          <w:numId w:val="1"/>
        </w:numPr>
        <w:tabs>
          <w:tab w:val="left" w:pos="-142"/>
        </w:tabs>
        <w:ind w:right="-454"/>
        <w:jc w:val="both"/>
        <w:rPr>
          <w:rFonts w:ascii="Eurobank Sans" w:hAnsi="Eurobank Sans"/>
          <w:color w:val="021342"/>
        </w:rPr>
      </w:pPr>
      <w:r w:rsidRPr="00676513">
        <w:rPr>
          <w:rFonts w:ascii="Eurobank Sans" w:hAnsi="Eurobank Sans"/>
          <w:color w:val="021342"/>
        </w:rPr>
        <w:t>Οι ανακτήσεις από το σύνολο των ανωτέρω ενεργειών ανέρχονται στο ποσό των €550.000 περίπου, σε μετρητά, που αντιστοιχεί στο 52% του λογιστικού υπολοίπου της απαίτησης, ενώ το ύψος των ανακτήσεων αθροιστικά από την έναρξη τη σύμβασης, εάν συμπεριληφθούν και οι αποπληρωμές κεφαλαίου κατά την περίοδο εξυπηρέτησης του, φθάνει περίπου το 75% του αρχικού κεφαλαίου της πίστωσης.</w:t>
      </w:r>
    </w:p>
    <w:p w14:paraId="57CE8F7A" w14:textId="77777777" w:rsidR="00B40059" w:rsidRPr="00676513" w:rsidRDefault="00B40059" w:rsidP="00676513">
      <w:pPr>
        <w:tabs>
          <w:tab w:val="left" w:pos="-142"/>
        </w:tabs>
        <w:ind w:left="-142" w:right="-454"/>
        <w:jc w:val="both"/>
        <w:rPr>
          <w:rFonts w:ascii="Eurobank Sans" w:hAnsi="Eurobank Sans"/>
          <w:color w:val="021342"/>
        </w:rPr>
      </w:pPr>
    </w:p>
    <w:p w14:paraId="2A6327F8" w14:textId="77777777" w:rsidR="00B609FF" w:rsidRPr="00676513" w:rsidRDefault="00B609FF" w:rsidP="00676513">
      <w:pPr>
        <w:jc w:val="both"/>
        <w:rPr>
          <w:color w:val="021342"/>
        </w:rPr>
      </w:pPr>
    </w:p>
    <w:sectPr w:rsidR="00B609FF" w:rsidRPr="0067651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BB60" w14:textId="77777777" w:rsidR="0020221A" w:rsidRDefault="0020221A" w:rsidP="00E84954">
      <w:pPr>
        <w:spacing w:after="0" w:line="240" w:lineRule="auto"/>
      </w:pPr>
      <w:r>
        <w:separator/>
      </w:r>
    </w:p>
  </w:endnote>
  <w:endnote w:type="continuationSeparator" w:id="0">
    <w:p w14:paraId="4356EB95" w14:textId="77777777" w:rsidR="0020221A" w:rsidRDefault="0020221A" w:rsidP="00E8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Eurobank Sans">
    <w:panose1 w:val="02000503000000020004"/>
    <w:charset w:val="A1"/>
    <w:family w:val="auto"/>
    <w:pitch w:val="variable"/>
    <w:sig w:usb0="A00002BF" w:usb1="5000000A"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43097"/>
      <w:docPartObj>
        <w:docPartGallery w:val="Page Numbers (Bottom of Page)"/>
        <w:docPartUnique/>
      </w:docPartObj>
    </w:sdtPr>
    <w:sdtEndPr>
      <w:rPr>
        <w:noProof/>
      </w:rPr>
    </w:sdtEndPr>
    <w:sdtContent>
      <w:p w14:paraId="2CD8D764" w14:textId="468BD0AA" w:rsidR="0099036D" w:rsidRDefault="00990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5D1CC" w14:textId="77777777" w:rsidR="00D74621" w:rsidRDefault="00D7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6986" w14:textId="77777777" w:rsidR="0020221A" w:rsidRDefault="0020221A" w:rsidP="00E84954">
      <w:pPr>
        <w:spacing w:after="0" w:line="240" w:lineRule="auto"/>
      </w:pPr>
      <w:r>
        <w:separator/>
      </w:r>
    </w:p>
  </w:footnote>
  <w:footnote w:type="continuationSeparator" w:id="0">
    <w:p w14:paraId="19B34048" w14:textId="77777777" w:rsidR="0020221A" w:rsidRDefault="0020221A" w:rsidP="00E84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4494" w14:textId="77777777" w:rsidR="002B36D7" w:rsidRDefault="002B36D7">
    <w:pPr>
      <w:pStyle w:val="Header"/>
    </w:pPr>
    <w:r w:rsidRPr="00D01521">
      <w:rPr>
        <w:noProof/>
        <w:color w:val="021342"/>
        <w:lang w:eastAsia="el-GR"/>
      </w:rPr>
      <w:drawing>
        <wp:anchor distT="0" distB="0" distL="114300" distR="114300" simplePos="0" relativeHeight="251659264" behindDoc="1" locked="0" layoutInCell="1" allowOverlap="1" wp14:anchorId="579B360F" wp14:editId="7875BEDA">
          <wp:simplePos x="0" y="0"/>
          <wp:positionH relativeFrom="page">
            <wp:align>left</wp:align>
          </wp:positionH>
          <wp:positionV relativeFrom="paragraph">
            <wp:posOffset>-450215</wp:posOffset>
          </wp:positionV>
          <wp:extent cx="7598410" cy="15798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784" cy="1580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A5483"/>
    <w:multiLevelType w:val="hybridMultilevel"/>
    <w:tmpl w:val="00308102"/>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num w:numId="1" w16cid:durableId="182250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F6"/>
    <w:rsid w:val="000869EA"/>
    <w:rsid w:val="0020221A"/>
    <w:rsid w:val="002B36D7"/>
    <w:rsid w:val="0032545C"/>
    <w:rsid w:val="00326393"/>
    <w:rsid w:val="003441FF"/>
    <w:rsid w:val="003E7D6E"/>
    <w:rsid w:val="00416DCD"/>
    <w:rsid w:val="00427044"/>
    <w:rsid w:val="004F205A"/>
    <w:rsid w:val="00676513"/>
    <w:rsid w:val="00714600"/>
    <w:rsid w:val="007B6473"/>
    <w:rsid w:val="00811303"/>
    <w:rsid w:val="0099036D"/>
    <w:rsid w:val="00A76CF6"/>
    <w:rsid w:val="00B0386B"/>
    <w:rsid w:val="00B40059"/>
    <w:rsid w:val="00B609FF"/>
    <w:rsid w:val="00B7316A"/>
    <w:rsid w:val="00CB70C5"/>
    <w:rsid w:val="00CC5485"/>
    <w:rsid w:val="00D01521"/>
    <w:rsid w:val="00D65EE2"/>
    <w:rsid w:val="00D74621"/>
    <w:rsid w:val="00D9070C"/>
    <w:rsid w:val="00DC53CE"/>
    <w:rsid w:val="00DE19FF"/>
    <w:rsid w:val="00E148E4"/>
    <w:rsid w:val="00E7553B"/>
    <w:rsid w:val="00E84954"/>
    <w:rsid w:val="00EF14B9"/>
    <w:rsid w:val="00EF5697"/>
    <w:rsid w:val="00F3679E"/>
    <w:rsid w:val="00F830FC"/>
    <w:rsid w:val="00FD09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DF03"/>
  <w15:chartTrackingRefBased/>
  <w15:docId w15:val="{5590A5A2-76D0-437D-94E7-AFEE17E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9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4954"/>
  </w:style>
  <w:style w:type="paragraph" w:styleId="Footer">
    <w:name w:val="footer"/>
    <w:basedOn w:val="Normal"/>
    <w:link w:val="FooterChar"/>
    <w:uiPriority w:val="99"/>
    <w:unhideWhenUsed/>
    <w:rsid w:val="00E849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4954"/>
  </w:style>
  <w:style w:type="paragraph" w:styleId="ListParagraph">
    <w:name w:val="List Paragraph"/>
    <w:basedOn w:val="Normal"/>
    <w:uiPriority w:val="34"/>
    <w:qFormat/>
    <w:rsid w:val="00676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2958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Roidi Paraskevi maria (External Partner)</dc:creator>
  <cp:keywords/>
  <dc:description/>
  <cp:lastModifiedBy>Lema Chrysa</cp:lastModifiedBy>
  <cp:revision>2</cp:revision>
  <dcterms:created xsi:type="dcterms:W3CDTF">2023-03-26T19:19:00Z</dcterms:created>
  <dcterms:modified xsi:type="dcterms:W3CDTF">2023-03-26T19:19:00Z</dcterms:modified>
</cp:coreProperties>
</file>