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73F50" w14:textId="2DDF1430" w:rsidR="00366699" w:rsidRPr="00920E2C" w:rsidRDefault="00366699" w:rsidP="00366699">
      <w:pPr>
        <w:spacing w:after="0" w:line="240" w:lineRule="auto"/>
        <w:jc w:val="right"/>
        <w:rPr>
          <w:i/>
        </w:rPr>
      </w:pPr>
      <w:r w:rsidRPr="00920E2C">
        <w:rPr>
          <w:i/>
        </w:rPr>
        <w:t>Μαρούσι, 24 Φεβρουαρίου 2023</w:t>
      </w:r>
    </w:p>
    <w:p w14:paraId="4104C238" w14:textId="77777777" w:rsidR="00366699" w:rsidRPr="00920E2C" w:rsidRDefault="00366699" w:rsidP="00366699">
      <w:pPr>
        <w:spacing w:after="0" w:line="240" w:lineRule="auto"/>
        <w:jc w:val="center"/>
        <w:rPr>
          <w:rFonts w:ascii="The Wave Sans TT" w:hAnsi="The Wave Sans TT"/>
          <w:b/>
          <w:sz w:val="24"/>
          <w:szCs w:val="20"/>
        </w:rPr>
      </w:pPr>
    </w:p>
    <w:p w14:paraId="6E9BB662" w14:textId="77777777" w:rsidR="00366699" w:rsidRPr="00920E2C" w:rsidRDefault="00366699" w:rsidP="00366699">
      <w:pPr>
        <w:spacing w:after="0" w:line="240" w:lineRule="auto"/>
        <w:jc w:val="center"/>
        <w:rPr>
          <w:rFonts w:ascii="The Wave Sans TT" w:hAnsi="The Wave Sans TT"/>
          <w:b/>
          <w:sz w:val="28"/>
          <w:szCs w:val="20"/>
        </w:rPr>
      </w:pPr>
      <w:r w:rsidRPr="00920E2C">
        <w:rPr>
          <w:rFonts w:ascii="The Wave Sans TT" w:hAnsi="The Wave Sans TT" w:cs="Arial"/>
          <w:b/>
          <w:sz w:val="24"/>
        </w:rPr>
        <w:t>Αποτελέσματα Δ’ Τριμήνου / Έτους 2022</w:t>
      </w:r>
    </w:p>
    <w:p w14:paraId="66B0B7D9" w14:textId="77777777" w:rsidR="00366699" w:rsidRPr="00920E2C" w:rsidRDefault="00366699" w:rsidP="00366699">
      <w:pPr>
        <w:spacing w:after="0" w:line="240" w:lineRule="auto"/>
        <w:jc w:val="center"/>
        <w:rPr>
          <w:rFonts w:ascii="The Wave Sans TT" w:hAnsi="The Wave Sans TT"/>
        </w:rPr>
      </w:pPr>
    </w:p>
    <w:tbl>
      <w:tblPr>
        <w:tblW w:w="8980" w:type="dxa"/>
        <w:jc w:val="center"/>
        <w:tblLook w:val="01E0" w:firstRow="1" w:lastRow="1" w:firstColumn="1" w:lastColumn="1" w:noHBand="0" w:noVBand="0"/>
      </w:tblPr>
      <w:tblGrid>
        <w:gridCol w:w="8980"/>
      </w:tblGrid>
      <w:tr w:rsidR="00366699" w:rsidRPr="00920E2C" w14:paraId="7ABC572A" w14:textId="77777777" w:rsidTr="009871E7">
        <w:trPr>
          <w:trHeight w:val="8230"/>
          <w:jc w:val="center"/>
        </w:trPr>
        <w:tc>
          <w:tcPr>
            <w:tcW w:w="8980" w:type="dxa"/>
            <w:shd w:val="clear" w:color="auto" w:fill="auto"/>
            <w:vAlign w:val="center"/>
          </w:tcPr>
          <w:p w14:paraId="2489EF8D" w14:textId="77777777" w:rsidR="00366699" w:rsidRPr="00920E2C" w:rsidRDefault="00366699" w:rsidP="00A56B30">
            <w:pPr>
              <w:spacing w:after="0"/>
              <w:jc w:val="center"/>
              <w:rPr>
                <w:rFonts w:ascii="The Wave Sans TT" w:hAnsi="The Wave Sans TT" w:cs="Arial"/>
                <w:b/>
              </w:rPr>
            </w:pPr>
            <w:r w:rsidRPr="00920E2C">
              <w:rPr>
                <w:rFonts w:ascii="The Wave Sans TT" w:hAnsi="The Wave Sans TT" w:cs="Arial"/>
                <w:b/>
              </w:rPr>
              <w:t xml:space="preserve">Ιστορικά υψηλή κερδοφορία λόγω διεθνούς περιβάλλοντος διύλισης, εξαγωγών και νέων επενδύσεων σε ΑΠΕ – Ολοκλήρωση πρώτου κύκλου στρατηγικού μετασχηματισμού με επιτυχία, διαχείριση ενεργειακής κρίσης </w:t>
            </w:r>
          </w:p>
          <w:p w14:paraId="5AB7C764" w14:textId="0F988276" w:rsidR="00366699" w:rsidRDefault="00366699" w:rsidP="00A56B30">
            <w:pPr>
              <w:spacing w:after="0"/>
              <w:jc w:val="center"/>
              <w:rPr>
                <w:rFonts w:ascii="The Wave Sans TT" w:hAnsi="The Wave Sans TT" w:cs="Arial"/>
                <w:b/>
              </w:rPr>
            </w:pPr>
            <w:r w:rsidRPr="00920E2C">
              <w:rPr>
                <w:rFonts w:ascii="The Wave Sans TT" w:hAnsi="The Wave Sans TT" w:cs="Arial"/>
                <w:b/>
              </w:rPr>
              <w:t xml:space="preserve">και σημαντική στήριξη στην κοινωνία. </w:t>
            </w:r>
          </w:p>
          <w:p w14:paraId="4FE672F8" w14:textId="77777777" w:rsidR="009871E7" w:rsidRDefault="009871E7" w:rsidP="009871E7">
            <w:pPr>
              <w:spacing w:after="0"/>
              <w:jc w:val="center"/>
              <w:rPr>
                <w:rFonts w:ascii="The Wave Sans TT" w:hAnsi="The Wave Sans TT" w:cs="Arial"/>
                <w:b/>
              </w:rPr>
            </w:pPr>
          </w:p>
          <w:p w14:paraId="56D57559" w14:textId="77777777" w:rsidR="009871E7" w:rsidRPr="00A42A32" w:rsidRDefault="009871E7" w:rsidP="009871E7">
            <w:pPr>
              <w:pStyle w:val="ListParagraph"/>
              <w:numPr>
                <w:ilvl w:val="0"/>
                <w:numId w:val="8"/>
              </w:numPr>
              <w:jc w:val="both"/>
              <w:rPr>
                <w:b/>
                <w:i/>
                <w:sz w:val="20"/>
                <w:szCs w:val="20"/>
              </w:rPr>
            </w:pPr>
            <w:r w:rsidRPr="00A42A32">
              <w:rPr>
                <w:b/>
                <w:i/>
                <w:sz w:val="20"/>
                <w:szCs w:val="20"/>
              </w:rPr>
              <w:t xml:space="preserve">Επιτυχής διαχείριση της ενεργειακής κρίσης, με προσαρμογή του μίγματος προμήθειας πρώτων υλών και διασφάλιση του εφοδιασμού της αγοράς. </w:t>
            </w:r>
            <w:bookmarkStart w:id="0" w:name="_GoBack"/>
            <w:bookmarkEnd w:id="0"/>
          </w:p>
          <w:p w14:paraId="5603CEB1" w14:textId="77777777" w:rsidR="009871E7" w:rsidRPr="00A42A32" w:rsidRDefault="009871E7" w:rsidP="009871E7">
            <w:pPr>
              <w:pStyle w:val="ListParagraph"/>
              <w:jc w:val="both"/>
              <w:rPr>
                <w:b/>
                <w:i/>
                <w:sz w:val="20"/>
                <w:szCs w:val="20"/>
              </w:rPr>
            </w:pPr>
          </w:p>
          <w:p w14:paraId="6B1D43B3" w14:textId="77777777" w:rsidR="009871E7" w:rsidRPr="00A42A32" w:rsidRDefault="009871E7" w:rsidP="009871E7">
            <w:pPr>
              <w:pStyle w:val="ListParagraph"/>
              <w:numPr>
                <w:ilvl w:val="0"/>
                <w:numId w:val="8"/>
              </w:numPr>
              <w:jc w:val="both"/>
              <w:rPr>
                <w:b/>
                <w:i/>
                <w:sz w:val="20"/>
                <w:szCs w:val="20"/>
              </w:rPr>
            </w:pPr>
            <w:r w:rsidRPr="00A42A32">
              <w:rPr>
                <w:b/>
                <w:i/>
                <w:sz w:val="20"/>
                <w:szCs w:val="20"/>
              </w:rPr>
              <w:t>Ρεκόρ κερδοφορίας, λόγω ευνοϊκού διεθνούς περιβάλλοντος διύλισης και αυξημένης δραστηριότητας στο εξωτερικό. Στα €261 εκατ. τα Συγκρίσιμα Καθαρά Κέρδη Δ’ Τριμήνου 2022, σε €1.006 εκατ. στο σύνολο του έτους. Συνολικό μέρισμα €1,15/μετοχή.</w:t>
            </w:r>
          </w:p>
          <w:p w14:paraId="5CBB1D57" w14:textId="77777777" w:rsidR="009871E7" w:rsidRPr="00A42A32" w:rsidRDefault="009871E7" w:rsidP="009871E7">
            <w:pPr>
              <w:pStyle w:val="ListParagraph"/>
              <w:rPr>
                <w:b/>
                <w:i/>
                <w:sz w:val="20"/>
                <w:szCs w:val="20"/>
              </w:rPr>
            </w:pPr>
          </w:p>
          <w:p w14:paraId="1161816D" w14:textId="77777777" w:rsidR="009871E7" w:rsidRPr="00A42A32" w:rsidRDefault="009871E7" w:rsidP="009871E7">
            <w:pPr>
              <w:pStyle w:val="ListParagraph"/>
              <w:numPr>
                <w:ilvl w:val="0"/>
                <w:numId w:val="8"/>
              </w:numPr>
              <w:jc w:val="both"/>
              <w:rPr>
                <w:b/>
                <w:i/>
                <w:sz w:val="20"/>
                <w:szCs w:val="20"/>
              </w:rPr>
            </w:pPr>
            <w:r w:rsidRPr="00A42A32">
              <w:rPr>
                <w:b/>
                <w:i/>
                <w:sz w:val="20"/>
                <w:szCs w:val="20"/>
              </w:rPr>
              <w:t>Αναπτυξιακή πορεία και ιστορικά λειτουργικά αποτελέσματα σε όλες τις επιμέρους εταιρίες και θυγατρικές του Ομίλου. Πάνω από τη μισή κερδοφορία προέρχεται από τις θυγατρικές του εξωτερικού και τις εξαγωγές.</w:t>
            </w:r>
          </w:p>
          <w:p w14:paraId="64AEFEDF" w14:textId="77777777" w:rsidR="009871E7" w:rsidRPr="00A42A32" w:rsidRDefault="009871E7" w:rsidP="009871E7">
            <w:pPr>
              <w:pStyle w:val="ListParagraph"/>
              <w:rPr>
                <w:b/>
                <w:i/>
                <w:sz w:val="20"/>
                <w:szCs w:val="20"/>
              </w:rPr>
            </w:pPr>
          </w:p>
          <w:p w14:paraId="2874ADC5" w14:textId="77777777" w:rsidR="009871E7" w:rsidRPr="00A42A32" w:rsidRDefault="009871E7" w:rsidP="009871E7">
            <w:pPr>
              <w:pStyle w:val="ListParagraph"/>
              <w:numPr>
                <w:ilvl w:val="0"/>
                <w:numId w:val="8"/>
              </w:numPr>
              <w:spacing w:after="0" w:line="240" w:lineRule="auto"/>
              <w:jc w:val="both"/>
              <w:rPr>
                <w:b/>
                <w:i/>
                <w:sz w:val="20"/>
                <w:szCs w:val="20"/>
              </w:rPr>
            </w:pPr>
            <w:r w:rsidRPr="00A42A32">
              <w:rPr>
                <w:b/>
                <w:i/>
                <w:sz w:val="20"/>
                <w:szCs w:val="20"/>
              </w:rPr>
              <w:t xml:space="preserve">Αυξημένη κατά 5,5% σε ετήσια βάση η ζήτηση καυσίμων στην εγχώρια αγορά, στους 6,1 εκατ. τόνους. </w:t>
            </w:r>
            <w:r w:rsidRPr="00A42A32">
              <w:rPr>
                <w:rFonts w:cstheme="minorHAnsi"/>
                <w:b/>
                <w:i/>
                <w:sz w:val="20"/>
                <w:szCs w:val="20"/>
              </w:rPr>
              <w:t>Άλμα 68% στις πωλήσεις αεροπορικών καυσίμων και ανάκαμψη 6% στα ναυτιλιακά. Στο +</w:t>
            </w:r>
            <w:r w:rsidRPr="00A42A32">
              <w:rPr>
                <w:b/>
                <w:i/>
                <w:sz w:val="20"/>
                <w:szCs w:val="20"/>
              </w:rPr>
              <w:t>13% η κατανάλωση πετρελαίου θέρμανσης.</w:t>
            </w:r>
          </w:p>
          <w:p w14:paraId="1F3B229B" w14:textId="77777777" w:rsidR="009871E7" w:rsidRPr="00A42A32" w:rsidRDefault="009871E7" w:rsidP="009871E7">
            <w:pPr>
              <w:pStyle w:val="ListParagraph"/>
              <w:spacing w:after="0" w:line="240" w:lineRule="auto"/>
              <w:jc w:val="both"/>
              <w:rPr>
                <w:b/>
                <w:i/>
                <w:sz w:val="20"/>
                <w:szCs w:val="20"/>
              </w:rPr>
            </w:pPr>
          </w:p>
          <w:p w14:paraId="3AAB4516" w14:textId="77777777" w:rsidR="009871E7" w:rsidRPr="00A42A32" w:rsidRDefault="009871E7" w:rsidP="009871E7">
            <w:pPr>
              <w:pStyle w:val="ListParagraph"/>
              <w:numPr>
                <w:ilvl w:val="0"/>
                <w:numId w:val="8"/>
              </w:numPr>
              <w:spacing w:after="0" w:line="240" w:lineRule="auto"/>
              <w:jc w:val="both"/>
              <w:rPr>
                <w:b/>
                <w:i/>
                <w:sz w:val="20"/>
                <w:szCs w:val="20"/>
              </w:rPr>
            </w:pPr>
            <w:r w:rsidRPr="00A42A32">
              <w:rPr>
                <w:b/>
                <w:i/>
                <w:sz w:val="20"/>
                <w:szCs w:val="20"/>
              </w:rPr>
              <w:t xml:space="preserve">Σε νέα εποχή η </w:t>
            </w:r>
            <w:r w:rsidRPr="00A42A32">
              <w:rPr>
                <w:b/>
                <w:i/>
                <w:sz w:val="20"/>
                <w:szCs w:val="20"/>
                <w:lang w:val="en-US"/>
              </w:rPr>
              <w:t>HELLENiQ</w:t>
            </w:r>
            <w:r w:rsidRPr="00A42A32">
              <w:rPr>
                <w:b/>
                <w:i/>
                <w:sz w:val="20"/>
                <w:szCs w:val="20"/>
              </w:rPr>
              <w:t xml:space="preserve"> </w:t>
            </w:r>
            <w:r w:rsidRPr="00A42A32">
              <w:rPr>
                <w:b/>
                <w:i/>
                <w:sz w:val="20"/>
                <w:szCs w:val="20"/>
                <w:lang w:val="en-US"/>
              </w:rPr>
              <w:t>ENERGY</w:t>
            </w:r>
            <w:r w:rsidRPr="00A42A32">
              <w:rPr>
                <w:b/>
                <w:i/>
                <w:sz w:val="20"/>
                <w:szCs w:val="20"/>
              </w:rPr>
              <w:t>, μετά την επιτυχή ολοκλήρωση της πρώτης φάσης μετασχηματισμού “</w:t>
            </w:r>
            <w:proofErr w:type="spellStart"/>
            <w:r w:rsidRPr="00A42A32">
              <w:rPr>
                <w:b/>
                <w:i/>
                <w:sz w:val="20"/>
                <w:szCs w:val="20"/>
              </w:rPr>
              <w:t>Vision</w:t>
            </w:r>
            <w:proofErr w:type="spellEnd"/>
            <w:r w:rsidRPr="00A42A32">
              <w:rPr>
                <w:b/>
                <w:i/>
                <w:sz w:val="20"/>
                <w:szCs w:val="20"/>
              </w:rPr>
              <w:t xml:space="preserve"> 2025”. Επιτάχυνση υλοποίησης στρατηγικής σε όλα τα μέτωπα. </w:t>
            </w:r>
          </w:p>
          <w:p w14:paraId="57864059" w14:textId="77777777" w:rsidR="009871E7" w:rsidRPr="00A42A32" w:rsidRDefault="009871E7" w:rsidP="009871E7">
            <w:pPr>
              <w:pStyle w:val="ListParagraph"/>
              <w:spacing w:after="0" w:line="240" w:lineRule="auto"/>
              <w:jc w:val="both"/>
              <w:rPr>
                <w:b/>
                <w:i/>
                <w:sz w:val="20"/>
                <w:szCs w:val="20"/>
              </w:rPr>
            </w:pPr>
          </w:p>
          <w:p w14:paraId="545F6AA0" w14:textId="77777777" w:rsidR="009871E7" w:rsidRPr="00A42A32" w:rsidRDefault="009871E7" w:rsidP="009871E7">
            <w:pPr>
              <w:pStyle w:val="ListParagraph"/>
              <w:numPr>
                <w:ilvl w:val="0"/>
                <w:numId w:val="8"/>
              </w:numPr>
              <w:jc w:val="both"/>
              <w:rPr>
                <w:b/>
                <w:i/>
                <w:sz w:val="20"/>
                <w:szCs w:val="20"/>
              </w:rPr>
            </w:pPr>
            <w:r w:rsidRPr="00A42A32">
              <w:rPr>
                <w:b/>
                <w:i/>
                <w:sz w:val="20"/>
                <w:szCs w:val="20"/>
              </w:rPr>
              <w:t>Στα €512 εκατ. οι συνολικές επενδύσεις. Στο επίκεντρο, η περαιτέρω βελτίωση των διυλιστηρίων και τα έργα ΑΠΕ. Ο Όμιλος καθίσταται ο μεγαλύτερος παραγωγός ενέργειας από Φ/Β στη χώρα.</w:t>
            </w:r>
          </w:p>
          <w:p w14:paraId="6B8A6339" w14:textId="77777777" w:rsidR="009871E7" w:rsidRPr="00A42A32" w:rsidRDefault="009871E7" w:rsidP="009871E7">
            <w:pPr>
              <w:pStyle w:val="ListParagraph"/>
              <w:rPr>
                <w:b/>
                <w:i/>
                <w:sz w:val="20"/>
                <w:szCs w:val="20"/>
              </w:rPr>
            </w:pPr>
          </w:p>
          <w:p w14:paraId="370D7F83" w14:textId="77777777" w:rsidR="009871E7" w:rsidRPr="00A42A32" w:rsidRDefault="009871E7" w:rsidP="009871E7">
            <w:pPr>
              <w:pStyle w:val="ListParagraph"/>
              <w:numPr>
                <w:ilvl w:val="0"/>
                <w:numId w:val="8"/>
              </w:numPr>
              <w:jc w:val="both"/>
              <w:rPr>
                <w:b/>
                <w:i/>
                <w:sz w:val="20"/>
                <w:szCs w:val="20"/>
              </w:rPr>
            </w:pPr>
            <w:r w:rsidRPr="00A42A32">
              <w:rPr>
                <w:b/>
                <w:i/>
                <w:sz w:val="20"/>
                <w:szCs w:val="20"/>
              </w:rPr>
              <w:t xml:space="preserve">Ουσιαστική η συνεισφορά σε οικονομία και κοινωνία. Ξεπερνά τα €500 εκατ. η καταβολή φόρων προς το Δημόσιο. </w:t>
            </w:r>
            <w:proofErr w:type="spellStart"/>
            <w:r w:rsidRPr="00A42A32">
              <w:rPr>
                <w:b/>
                <w:i/>
                <w:sz w:val="20"/>
                <w:szCs w:val="20"/>
              </w:rPr>
              <w:t>Στοχευμένες</w:t>
            </w:r>
            <w:proofErr w:type="spellEnd"/>
            <w:r w:rsidRPr="00A42A32">
              <w:rPr>
                <w:b/>
                <w:i/>
                <w:sz w:val="20"/>
                <w:szCs w:val="20"/>
              </w:rPr>
              <w:t xml:space="preserve"> κοινωνικές δράσεις για στήριξη της αγοράς και ευάλωτων κοινωνικών ομάδων, εν μέσω ενεργειακής κρίσης.</w:t>
            </w:r>
          </w:p>
          <w:p w14:paraId="6BCA3CA7" w14:textId="77777777" w:rsidR="009871E7" w:rsidRPr="00920E2C" w:rsidRDefault="009871E7" w:rsidP="00A56B30">
            <w:pPr>
              <w:spacing w:after="0"/>
              <w:jc w:val="center"/>
              <w:rPr>
                <w:rFonts w:ascii="The Wave Sans TT" w:hAnsi="The Wave Sans TT" w:cs="Arial"/>
                <w:b/>
              </w:rPr>
            </w:pPr>
          </w:p>
          <w:p w14:paraId="576938FE" w14:textId="77777777" w:rsidR="00366699" w:rsidRPr="00920E2C" w:rsidRDefault="00366699" w:rsidP="00A56B30">
            <w:pPr>
              <w:spacing w:after="0"/>
              <w:jc w:val="center"/>
              <w:rPr>
                <w:rFonts w:ascii="The Wave Sans TT" w:hAnsi="The Wave Sans TT" w:cs="Arial"/>
                <w:b/>
              </w:rPr>
            </w:pPr>
          </w:p>
        </w:tc>
      </w:tr>
    </w:tbl>
    <w:p w14:paraId="2668DFDE" w14:textId="51B652EF"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Η HELLENiQ ENERGY Holdings </w:t>
      </w:r>
      <w:r>
        <w:rPr>
          <w:rFonts w:ascii="The Wave Sans TT" w:hAnsi="The Wave Sans TT" w:cs="Arial"/>
          <w:sz w:val="20"/>
          <w:szCs w:val="20"/>
        </w:rPr>
        <w:t>Α.Ε.</w:t>
      </w:r>
      <w:r w:rsidRPr="00920E2C">
        <w:rPr>
          <w:rFonts w:ascii="The Wave Sans TT" w:hAnsi="The Wave Sans TT" w:cs="Arial"/>
          <w:sz w:val="20"/>
          <w:szCs w:val="20"/>
        </w:rPr>
        <w:t xml:space="preserve"> («Εταιρεία») ανακοίνωσε τα ενοποιημένα οικονομικά αποτελέσματα Δ' Τριμήνου και Έτους 2022, με τα Συγκρίσιμα Κέρδη </w:t>
      </w:r>
      <w:r w:rsidRPr="00920E2C">
        <w:rPr>
          <w:rFonts w:ascii="The Wave Sans TT" w:hAnsi="The Wave Sans TT" w:cs="Arial"/>
          <w:sz w:val="20"/>
          <w:szCs w:val="20"/>
          <w:lang w:val="en-US"/>
        </w:rPr>
        <w:t>EBITDA</w:t>
      </w:r>
      <w:r w:rsidRPr="00920E2C">
        <w:rPr>
          <w:rFonts w:ascii="The Wave Sans TT" w:hAnsi="The Wave Sans TT" w:cs="Arial"/>
          <w:sz w:val="20"/>
          <w:szCs w:val="20"/>
        </w:rPr>
        <w:t xml:space="preserve"> να διαμορφώνονται σ</w:t>
      </w:r>
      <w:r>
        <w:rPr>
          <w:rFonts w:ascii="The Wave Sans TT" w:hAnsi="The Wave Sans TT" w:cs="Arial"/>
          <w:sz w:val="20"/>
          <w:szCs w:val="20"/>
        </w:rPr>
        <w:t>τα</w:t>
      </w:r>
      <w:r w:rsidRPr="00920E2C">
        <w:rPr>
          <w:rFonts w:ascii="The Wave Sans TT" w:hAnsi="The Wave Sans TT" w:cs="Arial"/>
          <w:sz w:val="20"/>
          <w:szCs w:val="20"/>
        </w:rPr>
        <w:t xml:space="preserve"> €46</w:t>
      </w:r>
      <w:r w:rsidRPr="00AE112E">
        <w:rPr>
          <w:rFonts w:ascii="The Wave Sans TT" w:hAnsi="The Wave Sans TT" w:cs="Arial"/>
          <w:sz w:val="20"/>
          <w:szCs w:val="20"/>
        </w:rPr>
        <w:t>5</w:t>
      </w:r>
      <w:r w:rsidRPr="00920E2C">
        <w:rPr>
          <w:rFonts w:ascii="The Wave Sans TT" w:hAnsi="The Wave Sans TT" w:cs="Arial"/>
          <w:sz w:val="20"/>
          <w:szCs w:val="20"/>
        </w:rPr>
        <w:t xml:space="preserve"> εκατ. και τα Συγκρίσιμα Καθαρά Κέρδη σ</w:t>
      </w:r>
      <w:r>
        <w:rPr>
          <w:rFonts w:ascii="The Wave Sans TT" w:hAnsi="The Wave Sans TT" w:cs="Arial"/>
          <w:sz w:val="20"/>
          <w:szCs w:val="20"/>
        </w:rPr>
        <w:t>τα</w:t>
      </w:r>
      <w:r w:rsidRPr="00920E2C">
        <w:rPr>
          <w:rFonts w:ascii="The Wave Sans TT" w:hAnsi="The Wave Sans TT" w:cs="Arial"/>
          <w:sz w:val="20"/>
          <w:szCs w:val="20"/>
        </w:rPr>
        <w:t xml:space="preserve"> €2</w:t>
      </w:r>
      <w:r w:rsidRPr="00AE112E">
        <w:rPr>
          <w:rFonts w:ascii="The Wave Sans TT" w:hAnsi="The Wave Sans TT" w:cs="Arial"/>
          <w:sz w:val="20"/>
          <w:szCs w:val="20"/>
        </w:rPr>
        <w:t>61</w:t>
      </w:r>
      <w:r w:rsidRPr="00920E2C">
        <w:rPr>
          <w:rFonts w:ascii="The Wave Sans TT" w:hAnsi="The Wave Sans TT" w:cs="Arial"/>
          <w:sz w:val="20"/>
          <w:szCs w:val="20"/>
        </w:rPr>
        <w:t xml:space="preserve"> εκατ. το Δ’ Τρίμηνο 2022. Αντίστοιχα, τα ετήσια Συγκρίσιμα Κέρδη </w:t>
      </w:r>
      <w:r w:rsidRPr="00920E2C">
        <w:rPr>
          <w:rFonts w:ascii="The Wave Sans TT" w:hAnsi="The Wave Sans TT" w:cs="Arial"/>
          <w:sz w:val="20"/>
          <w:szCs w:val="20"/>
          <w:lang w:val="en-US"/>
        </w:rPr>
        <w:t>EBITDA</w:t>
      </w:r>
      <w:r w:rsidRPr="00920E2C">
        <w:rPr>
          <w:rFonts w:ascii="The Wave Sans TT" w:hAnsi="The Wave Sans TT" w:cs="Arial"/>
          <w:sz w:val="20"/>
          <w:szCs w:val="20"/>
        </w:rPr>
        <w:t xml:space="preserve"> ανήλθαν σε ιστορικά υψηλά, σε €1.601 εκατ. και τα Συγκρίσιμα Καθαρά Κέρδη σε </w:t>
      </w:r>
      <w:r w:rsidRPr="00AE112E">
        <w:rPr>
          <w:rFonts w:ascii="The Wave Sans TT" w:hAnsi="The Wave Sans TT" w:cs="Arial"/>
          <w:sz w:val="20"/>
          <w:szCs w:val="20"/>
        </w:rPr>
        <w:t>1.006</w:t>
      </w:r>
      <w:r w:rsidRPr="00920E2C">
        <w:rPr>
          <w:rFonts w:ascii="The Wave Sans TT" w:hAnsi="The Wave Sans TT" w:cs="Arial"/>
          <w:sz w:val="20"/>
          <w:szCs w:val="20"/>
        </w:rPr>
        <w:t xml:space="preserve"> εκατ..</w:t>
      </w:r>
    </w:p>
    <w:p w14:paraId="206119FF"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Η ιστορικά υψηλή κερδοφορία επιτεύχθηκε εν μέσω ισχυρού περιβάλλοντος διύλισης, βελτιωμένης λειτουργίας των διυλιστηρίων, εξαγωγών, αλλά και ως αποτέλεσμα της στρατηγικής μετασχηματισμού του Ομίλου σε όλες τις δραστηριότητες του. Σημαντική συνεισφορά είχαν τα δίκτυα πρατηρίων στην Ελλάδα και το εξωτερικό, ενώ </w:t>
      </w:r>
      <w:r>
        <w:rPr>
          <w:rFonts w:ascii="The Wave Sans TT" w:hAnsi="The Wave Sans TT" w:cs="Arial"/>
          <w:sz w:val="20"/>
          <w:szCs w:val="20"/>
        </w:rPr>
        <w:t>οι</w:t>
      </w:r>
      <w:r w:rsidRPr="00920E2C">
        <w:rPr>
          <w:rFonts w:ascii="The Wave Sans TT" w:hAnsi="The Wave Sans TT" w:cs="Arial"/>
          <w:sz w:val="20"/>
          <w:szCs w:val="20"/>
        </w:rPr>
        <w:t xml:space="preserve"> επενδύσεις στο τομέα των ΑΠΕ αρχίζουν να εμφανίζουν τη θετική συνεισφορά τους </w:t>
      </w:r>
      <w:r>
        <w:rPr>
          <w:rFonts w:ascii="The Wave Sans TT" w:hAnsi="The Wave Sans TT" w:cs="Arial"/>
          <w:sz w:val="20"/>
          <w:szCs w:val="20"/>
        </w:rPr>
        <w:t>ως</w:t>
      </w:r>
      <w:r w:rsidRPr="00920E2C">
        <w:rPr>
          <w:rFonts w:ascii="The Wave Sans TT" w:hAnsi="The Wave Sans TT" w:cs="Arial"/>
          <w:sz w:val="20"/>
          <w:szCs w:val="20"/>
        </w:rPr>
        <w:t xml:space="preserve"> νέος κλάδος.</w:t>
      </w:r>
    </w:p>
    <w:p w14:paraId="482F1704"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Οι πωλήσεις πετρελαιοειδών διαμορφώθηκαν στους 14,3 εκατ. τόνους, με τις εξαγωγές να διατηρούνται σε υψηλά επίπεδα (49% επί του συνόλου των πωλήσεων) και με την αγορά </w:t>
      </w:r>
      <w:r w:rsidRPr="00920E2C">
        <w:rPr>
          <w:rFonts w:ascii="The Wave Sans TT" w:hAnsi="The Wave Sans TT" w:cs="Arial"/>
          <w:sz w:val="20"/>
          <w:szCs w:val="20"/>
        </w:rPr>
        <w:lastRenderedPageBreak/>
        <w:t>αεροπορικών και ναυτιλιακών καυσίμων βελτιωμένη, λόγω ανάκαμψης του τουρισμού. Με σημαντική αύξηση του όγκου πωλήσεων, η συμβολή της Εμπορίας στην ετήσια κερδοφορία ανήλθε στα €138 εκατ. (+8%).</w:t>
      </w:r>
    </w:p>
    <w:p w14:paraId="5192C3F4"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Όσο</w:t>
      </w:r>
      <w:r>
        <w:rPr>
          <w:rFonts w:ascii="The Wave Sans TT" w:hAnsi="The Wave Sans TT" w:cs="Arial"/>
          <w:sz w:val="20"/>
          <w:szCs w:val="20"/>
        </w:rPr>
        <w:t>ν</w:t>
      </w:r>
      <w:r w:rsidRPr="00920E2C">
        <w:rPr>
          <w:rFonts w:ascii="The Wave Sans TT" w:hAnsi="The Wave Sans TT" w:cs="Arial"/>
          <w:sz w:val="20"/>
          <w:szCs w:val="20"/>
        </w:rPr>
        <w:t xml:space="preserve"> αφορά τα Δημοσιευμένα Καθαρά Κέρδη</w:t>
      </w:r>
      <w:r>
        <w:rPr>
          <w:rFonts w:ascii="The Wave Sans TT" w:hAnsi="The Wave Sans TT" w:cs="Arial"/>
          <w:sz w:val="20"/>
          <w:szCs w:val="20"/>
        </w:rPr>
        <w:t>,</w:t>
      </w:r>
      <w:r w:rsidRPr="00920E2C">
        <w:rPr>
          <w:rFonts w:ascii="The Wave Sans TT" w:hAnsi="The Wave Sans TT" w:cs="Arial"/>
          <w:sz w:val="20"/>
          <w:szCs w:val="20"/>
        </w:rPr>
        <w:t xml:space="preserve"> διαμορφώθηκαν σ</w:t>
      </w:r>
      <w:r>
        <w:rPr>
          <w:rFonts w:ascii="The Wave Sans TT" w:hAnsi="The Wave Sans TT" w:cs="Arial"/>
          <w:sz w:val="20"/>
          <w:szCs w:val="20"/>
        </w:rPr>
        <w:t>τα</w:t>
      </w:r>
      <w:r w:rsidRPr="00920E2C">
        <w:rPr>
          <w:rFonts w:ascii="The Wave Sans TT" w:hAnsi="The Wave Sans TT" w:cs="Arial"/>
          <w:sz w:val="20"/>
          <w:szCs w:val="20"/>
        </w:rPr>
        <w:t xml:space="preserve"> €890 εκατ., διαφοροποιημένα κυρίως λόγω της πρόβλεψης άνω των €300 εκατ.</w:t>
      </w:r>
      <w:r>
        <w:rPr>
          <w:rFonts w:ascii="The Wave Sans TT" w:hAnsi="The Wave Sans TT" w:cs="Arial"/>
          <w:sz w:val="20"/>
          <w:szCs w:val="20"/>
        </w:rPr>
        <w:t xml:space="preserve"> </w:t>
      </w:r>
      <w:r w:rsidRPr="00920E2C">
        <w:rPr>
          <w:rFonts w:ascii="The Wave Sans TT" w:hAnsi="The Wave Sans TT" w:cs="Arial"/>
          <w:sz w:val="20"/>
          <w:szCs w:val="20"/>
        </w:rPr>
        <w:t>για τη Συνεισφορά Αλληλεγγύης, αλλά και των κερδών αποτίμησης αποθεμάτων, ύψους περίπου €100 εκατ..</w:t>
      </w:r>
    </w:p>
    <w:p w14:paraId="067436C5" w14:textId="77777777" w:rsidR="00366699" w:rsidRPr="00920E2C" w:rsidRDefault="00366699" w:rsidP="00366699">
      <w:pPr>
        <w:spacing w:after="120"/>
        <w:jc w:val="both"/>
        <w:rPr>
          <w:rFonts w:ascii="The Wave Sans TT" w:hAnsi="The Wave Sans TT" w:cs="Arial"/>
          <w:b/>
          <w:sz w:val="20"/>
          <w:szCs w:val="20"/>
        </w:rPr>
      </w:pPr>
      <w:r w:rsidRPr="00920E2C">
        <w:rPr>
          <w:rFonts w:ascii="The Wave Sans TT" w:hAnsi="The Wave Sans TT" w:cs="Arial"/>
          <w:sz w:val="20"/>
          <w:szCs w:val="20"/>
        </w:rPr>
        <w:t>Το Διοικητικό Συμβούλιο αποφάσισε να προτείνει στη Γενική Συνέλευση τη διανομή τελικού μερίσματος €0,50/μετοχή, διαμορφώνοντας το συνολικό μέρισμα στα €1,15/μετοχή, αθροίζοντας τη διανομή €0,40/μετοχή σε σχέση με την πώληση της συμμετοχής στη ΔΕΠΑ Υποδομών, αλλά και το προσωρινό μέρισμα €0,25/μετοχή, που έχουν ήδη διανεμηθεί.</w:t>
      </w:r>
    </w:p>
    <w:p w14:paraId="3365CFDA" w14:textId="77777777" w:rsidR="00366699" w:rsidRPr="0028322F" w:rsidRDefault="00366699" w:rsidP="00366699">
      <w:pPr>
        <w:keepNext/>
        <w:spacing w:after="120"/>
        <w:jc w:val="both"/>
        <w:rPr>
          <w:rFonts w:ascii="The Wave Sans TT" w:hAnsi="The Wave Sans TT" w:cs="Arial"/>
          <w:b/>
          <w:sz w:val="10"/>
          <w:szCs w:val="20"/>
        </w:rPr>
      </w:pPr>
    </w:p>
    <w:p w14:paraId="63E39F15" w14:textId="77777777" w:rsidR="00366699" w:rsidRPr="00920E2C" w:rsidRDefault="00366699" w:rsidP="00366699">
      <w:pPr>
        <w:keepNext/>
        <w:spacing w:after="120"/>
        <w:jc w:val="both"/>
        <w:rPr>
          <w:rFonts w:ascii="The Wave Sans TT" w:hAnsi="The Wave Sans TT" w:cs="Arial"/>
          <w:b/>
          <w:sz w:val="20"/>
          <w:szCs w:val="20"/>
        </w:rPr>
      </w:pPr>
      <w:r w:rsidRPr="00920E2C">
        <w:rPr>
          <w:rFonts w:ascii="The Wave Sans TT" w:hAnsi="The Wave Sans TT" w:cs="Arial"/>
          <w:b/>
          <w:sz w:val="20"/>
          <w:szCs w:val="20"/>
        </w:rPr>
        <w:t xml:space="preserve">Υλοποίηση Στρατηγικής – </w:t>
      </w:r>
      <w:r w:rsidRPr="00920E2C">
        <w:rPr>
          <w:rFonts w:ascii="The Wave Sans TT" w:hAnsi="The Wave Sans TT" w:cs="Arial"/>
          <w:b/>
          <w:sz w:val="20"/>
          <w:szCs w:val="20"/>
          <w:lang w:val="en-US"/>
        </w:rPr>
        <w:t>Vision</w:t>
      </w:r>
      <w:r w:rsidRPr="00920E2C">
        <w:rPr>
          <w:rFonts w:ascii="The Wave Sans TT" w:hAnsi="The Wave Sans TT" w:cs="Arial"/>
          <w:b/>
          <w:sz w:val="20"/>
          <w:szCs w:val="20"/>
        </w:rPr>
        <w:t xml:space="preserve"> 2025</w:t>
      </w:r>
    </w:p>
    <w:p w14:paraId="2E5ACE02"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Το 2022 ολοκληρώθηκε η πρώτη φάση υλοποίησης της στρατηγικής του Ομίλου, όπου εκτός από τον επανακαθορισμό της στρατηγικής μας κατεύθυνσης προς τις πιο καθαρές μορφές ενέργειας, αναβαθμίστηκε το πλαίσιο εταιρικής διακυβέρνησης, καθιερώθηκε καταλληλότερη εταιρική δομή και, τέλος, υιοθετήθηκε η νέα εταιρική ταυτότητα.</w:t>
      </w:r>
    </w:p>
    <w:p w14:paraId="34E42200" w14:textId="3C3ECC24"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Συγκεκριμένα, το 2022 ήταν μια χρονιά με ουσιαστικές θετικές εξελίξεις, η οποία ξεκίνησε στις 3 Ιανουαρίου 2022 με τη νέα εταιρική δομή που επιτρέπει σημαντικά οφέλη, σε επίπεδο διαχείρισης ρίσκου, στρατηγικής ευελιξίας, χρηματοδοτικών ευκαιριών, αλλά και στην ανάδειξη της αξίας των επιμέρους δραστηριοτήτων του Ομίλου.</w:t>
      </w:r>
    </w:p>
    <w:p w14:paraId="028D8842"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Στις 20 Σεπτεμβρίου 2022, μετά από έγκριση της Έκτακτης Γενικής Συνέλευσης, ολοκληρώθηκε και ανακοινώθηκε η νέα εταιρική ταυτότητα, που περιλαμβάνει νέο εταιρικό όνομα και λογότυπο, τα οποία παρουσιάστηκαν σε ειδικές εκδηλώσεις σε όλες τις θυγατρικές και στις αγορές που δραστηριοποιείται η </w:t>
      </w:r>
      <w:r>
        <w:rPr>
          <w:rFonts w:ascii="The Wave Sans TT" w:hAnsi="The Wave Sans TT" w:cs="Arial"/>
          <w:sz w:val="20"/>
          <w:szCs w:val="20"/>
        </w:rPr>
        <w:t>Ε</w:t>
      </w:r>
      <w:r w:rsidRPr="00920E2C">
        <w:rPr>
          <w:rFonts w:ascii="The Wave Sans TT" w:hAnsi="The Wave Sans TT" w:cs="Arial"/>
          <w:sz w:val="20"/>
          <w:szCs w:val="20"/>
        </w:rPr>
        <w:t>ταιρ</w:t>
      </w:r>
      <w:r>
        <w:rPr>
          <w:rFonts w:ascii="The Wave Sans TT" w:hAnsi="The Wave Sans TT" w:cs="Arial"/>
          <w:sz w:val="20"/>
          <w:szCs w:val="20"/>
        </w:rPr>
        <w:t>ε</w:t>
      </w:r>
      <w:r w:rsidRPr="00920E2C">
        <w:rPr>
          <w:rFonts w:ascii="The Wave Sans TT" w:hAnsi="The Wave Sans TT" w:cs="Arial"/>
          <w:sz w:val="20"/>
          <w:szCs w:val="20"/>
        </w:rPr>
        <w:t xml:space="preserve">ία. </w:t>
      </w:r>
    </w:p>
    <w:p w14:paraId="0AB10740" w14:textId="0C078ACA"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Στο πλαίσιο αναπροσαρμογής του χαρτοφυλακίου μη βασικών δραστηριοτήτων, ολοκληρώθηκε η πώληση της συμμετοχής στη ΔΕΠΑ Υποδομών</w:t>
      </w:r>
      <w:r>
        <w:rPr>
          <w:rFonts w:ascii="The Wave Sans TT" w:hAnsi="The Wave Sans TT" w:cs="Arial"/>
          <w:sz w:val="20"/>
          <w:szCs w:val="20"/>
        </w:rPr>
        <w:t xml:space="preserve"> -</w:t>
      </w:r>
      <w:r w:rsidRPr="00920E2C">
        <w:rPr>
          <w:rFonts w:ascii="The Wave Sans TT" w:hAnsi="The Wave Sans TT" w:cs="Arial"/>
          <w:sz w:val="20"/>
          <w:szCs w:val="20"/>
        </w:rPr>
        <w:t>από κοινού με το ΤΑΙΠΕΔ</w:t>
      </w:r>
      <w:r>
        <w:rPr>
          <w:rFonts w:ascii="The Wave Sans TT" w:hAnsi="The Wave Sans TT" w:cs="Arial"/>
          <w:sz w:val="20"/>
          <w:szCs w:val="20"/>
        </w:rPr>
        <w:t>-</w:t>
      </w:r>
      <w:r w:rsidRPr="00920E2C">
        <w:rPr>
          <w:rFonts w:ascii="The Wave Sans TT" w:hAnsi="The Wave Sans TT" w:cs="Arial"/>
          <w:sz w:val="20"/>
          <w:szCs w:val="20"/>
        </w:rPr>
        <w:t xml:space="preserve">, στην </w:t>
      </w:r>
      <w:proofErr w:type="spellStart"/>
      <w:r w:rsidRPr="00920E2C">
        <w:rPr>
          <w:rFonts w:ascii="The Wave Sans TT" w:hAnsi="The Wave Sans TT" w:cs="Arial"/>
          <w:sz w:val="20"/>
          <w:szCs w:val="20"/>
          <w:lang w:val="en-US"/>
        </w:rPr>
        <w:t>Italgas</w:t>
      </w:r>
      <w:proofErr w:type="spellEnd"/>
      <w:r w:rsidRPr="00920E2C">
        <w:rPr>
          <w:rFonts w:ascii="The Wave Sans TT" w:hAnsi="The Wave Sans TT" w:cs="Arial"/>
          <w:sz w:val="20"/>
          <w:szCs w:val="20"/>
        </w:rPr>
        <w:t>. Τα έσοδα για την Εταιρεία ανήλθαν σε €266 εκατ., με περίπου το 50% να διανέμεται στους μετόχους και το υπόλοιπο να αξιοποιείται για τη δυναμικότερη υλοποίηση του στρατηγικού μας σχεδιασμού.</w:t>
      </w:r>
    </w:p>
    <w:p w14:paraId="446FC95D" w14:textId="51731218"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Σε ό,τι αφορά στην ανάπτυξή μας στις ΑΠΕ, το 2022 ολοκληρώθηκε η κατασκευή και τέθηκε σε λειτουργία το </w:t>
      </w:r>
      <w:proofErr w:type="spellStart"/>
      <w:r w:rsidRPr="00920E2C">
        <w:rPr>
          <w:rFonts w:ascii="The Wave Sans TT" w:hAnsi="The Wave Sans TT" w:cs="Arial"/>
          <w:sz w:val="20"/>
          <w:szCs w:val="20"/>
        </w:rPr>
        <w:t>φωτοβολταϊκό</w:t>
      </w:r>
      <w:proofErr w:type="spellEnd"/>
      <w:r w:rsidRPr="00920E2C">
        <w:rPr>
          <w:rFonts w:ascii="The Wave Sans TT" w:hAnsi="The Wave Sans TT" w:cs="Arial"/>
          <w:sz w:val="20"/>
          <w:szCs w:val="20"/>
        </w:rPr>
        <w:t xml:space="preserve"> πάρκο 204 </w:t>
      </w:r>
      <w:r w:rsidRPr="00920E2C">
        <w:rPr>
          <w:rFonts w:ascii="The Wave Sans TT" w:hAnsi="The Wave Sans TT" w:cs="Arial"/>
          <w:sz w:val="20"/>
          <w:szCs w:val="20"/>
          <w:lang w:val="en-US"/>
        </w:rPr>
        <w:t>MW</w:t>
      </w:r>
      <w:r w:rsidRPr="00920E2C">
        <w:rPr>
          <w:rFonts w:ascii="The Wave Sans TT" w:hAnsi="The Wave Sans TT" w:cs="Arial"/>
          <w:sz w:val="20"/>
          <w:szCs w:val="20"/>
        </w:rPr>
        <w:t xml:space="preserve"> στην Κοζάνη, το μεγαλύτερο ενιαίο έργο ΑΠΕ</w:t>
      </w:r>
      <w:r>
        <w:rPr>
          <w:rFonts w:ascii="The Wave Sans TT" w:hAnsi="The Wave Sans TT" w:cs="Arial"/>
          <w:sz w:val="20"/>
          <w:szCs w:val="20"/>
        </w:rPr>
        <w:t>,</w:t>
      </w:r>
      <w:r w:rsidRPr="00920E2C">
        <w:rPr>
          <w:rFonts w:ascii="The Wave Sans TT" w:hAnsi="The Wave Sans TT" w:cs="Arial"/>
          <w:sz w:val="20"/>
          <w:szCs w:val="20"/>
        </w:rPr>
        <w:t xml:space="preserve"> μέχρι σήμερα</w:t>
      </w:r>
      <w:r>
        <w:rPr>
          <w:rFonts w:ascii="The Wave Sans TT" w:hAnsi="The Wave Sans TT" w:cs="Arial"/>
          <w:sz w:val="20"/>
          <w:szCs w:val="20"/>
        </w:rPr>
        <w:t>,</w:t>
      </w:r>
      <w:r w:rsidRPr="00920E2C">
        <w:rPr>
          <w:rFonts w:ascii="The Wave Sans TT" w:hAnsi="The Wave Sans TT" w:cs="Arial"/>
          <w:sz w:val="20"/>
          <w:szCs w:val="20"/>
        </w:rPr>
        <w:t xml:space="preserve"> στην Ελλάδα. Παράλληλα, ολοκληρώθηκε η εξαγορά αιολικών πάρκων σε λειτουργία στη Μάνη, συνολικής δυναμικότητας 55 </w:t>
      </w:r>
      <w:r w:rsidRPr="00920E2C">
        <w:rPr>
          <w:rFonts w:ascii="The Wave Sans TT" w:hAnsi="The Wave Sans TT" w:cs="Arial"/>
          <w:sz w:val="20"/>
          <w:szCs w:val="20"/>
          <w:lang w:val="en-US"/>
        </w:rPr>
        <w:t>MW</w:t>
      </w:r>
      <w:r w:rsidRPr="00920E2C">
        <w:rPr>
          <w:rFonts w:ascii="The Wave Sans TT" w:hAnsi="The Wave Sans TT" w:cs="Arial"/>
          <w:sz w:val="20"/>
          <w:szCs w:val="20"/>
        </w:rPr>
        <w:t xml:space="preserve">, αυξάνοντας τη συνολική εγκατεστημένη ισχύ του Ομίλου σε ΑΠΕ στα 341 </w:t>
      </w:r>
      <w:r w:rsidRPr="00920E2C">
        <w:rPr>
          <w:rFonts w:ascii="The Wave Sans TT" w:hAnsi="The Wave Sans TT" w:cs="Arial"/>
          <w:sz w:val="20"/>
          <w:szCs w:val="20"/>
          <w:lang w:val="en-US"/>
        </w:rPr>
        <w:t>MW</w:t>
      </w:r>
      <w:r w:rsidRPr="00920E2C">
        <w:rPr>
          <w:rFonts w:ascii="The Wave Sans TT" w:hAnsi="The Wave Sans TT" w:cs="Arial"/>
          <w:sz w:val="20"/>
          <w:szCs w:val="20"/>
        </w:rPr>
        <w:t xml:space="preserve">. Επιπλέον, υπογράφηκε μνημόνιο συνεργασίας με την </w:t>
      </w:r>
      <w:r w:rsidRPr="00920E2C">
        <w:rPr>
          <w:rFonts w:ascii="The Wave Sans TT" w:hAnsi="The Wave Sans TT" w:cs="Arial"/>
          <w:sz w:val="20"/>
          <w:szCs w:val="20"/>
          <w:lang w:val="en-US"/>
        </w:rPr>
        <w:t>RWE</w:t>
      </w:r>
      <w:r w:rsidRPr="00920E2C">
        <w:rPr>
          <w:rFonts w:ascii="The Wave Sans TT" w:hAnsi="The Wave Sans TT" w:cs="Arial"/>
          <w:sz w:val="20"/>
          <w:szCs w:val="20"/>
        </w:rPr>
        <w:t xml:space="preserve"> με σκοπό την ανάπτυξη </w:t>
      </w:r>
      <w:proofErr w:type="spellStart"/>
      <w:r w:rsidRPr="00920E2C">
        <w:rPr>
          <w:rFonts w:ascii="The Wave Sans TT" w:hAnsi="The Wave Sans TT" w:cs="Arial"/>
          <w:sz w:val="20"/>
          <w:szCs w:val="20"/>
        </w:rPr>
        <w:t>υπεράκτιων</w:t>
      </w:r>
      <w:proofErr w:type="spellEnd"/>
      <w:r w:rsidRPr="00920E2C">
        <w:rPr>
          <w:rFonts w:ascii="The Wave Sans TT" w:hAnsi="The Wave Sans TT" w:cs="Arial"/>
          <w:sz w:val="20"/>
          <w:szCs w:val="20"/>
        </w:rPr>
        <w:t xml:space="preserve"> αιολικών πάρκων. Στόχος είναι η σταδιακή ανάπτυξη του εν λειτουργία χαρτοφυλακίου ΑΠΕ σε 1 </w:t>
      </w:r>
      <w:r w:rsidRPr="00920E2C">
        <w:rPr>
          <w:rFonts w:ascii="The Wave Sans TT" w:hAnsi="The Wave Sans TT" w:cs="Arial"/>
          <w:sz w:val="20"/>
          <w:szCs w:val="20"/>
          <w:lang w:val="en-US"/>
        </w:rPr>
        <w:t>GW</w:t>
      </w:r>
      <w:r w:rsidRPr="00920E2C">
        <w:rPr>
          <w:rFonts w:ascii="The Wave Sans TT" w:hAnsi="The Wave Sans TT" w:cs="Arial"/>
          <w:sz w:val="20"/>
          <w:szCs w:val="20"/>
        </w:rPr>
        <w:t xml:space="preserve"> μέχρι το 2025 και άνω των 2 </w:t>
      </w:r>
      <w:r w:rsidRPr="00920E2C">
        <w:rPr>
          <w:rFonts w:ascii="The Wave Sans TT" w:hAnsi="The Wave Sans TT" w:cs="Arial"/>
          <w:sz w:val="20"/>
          <w:szCs w:val="20"/>
          <w:lang w:val="en-US"/>
        </w:rPr>
        <w:t>GW</w:t>
      </w:r>
      <w:r w:rsidRPr="00920E2C">
        <w:rPr>
          <w:rFonts w:ascii="The Wave Sans TT" w:hAnsi="The Wave Sans TT" w:cs="Arial"/>
          <w:sz w:val="20"/>
          <w:szCs w:val="20"/>
        </w:rPr>
        <w:t xml:space="preserve"> έως το 2030, με το υπό ανάπτυξη χαρτοφυλάκιο έργων να ξεπερνά τα 2,5 </w:t>
      </w:r>
      <w:r w:rsidRPr="00920E2C">
        <w:rPr>
          <w:rFonts w:ascii="The Wave Sans TT" w:hAnsi="The Wave Sans TT" w:cs="Arial"/>
          <w:sz w:val="20"/>
          <w:szCs w:val="20"/>
          <w:lang w:val="en-US"/>
        </w:rPr>
        <w:t>GW</w:t>
      </w:r>
      <w:r w:rsidRPr="00920E2C">
        <w:rPr>
          <w:rFonts w:ascii="The Wave Sans TT" w:hAnsi="The Wave Sans TT" w:cs="Arial"/>
          <w:sz w:val="20"/>
          <w:szCs w:val="20"/>
        </w:rPr>
        <w:t>.</w:t>
      </w:r>
    </w:p>
    <w:p w14:paraId="0F8CDE94" w14:textId="77777777" w:rsidR="00366699" w:rsidRPr="00920E2C" w:rsidRDefault="00366699" w:rsidP="00366699">
      <w:pPr>
        <w:spacing w:after="120"/>
        <w:jc w:val="both"/>
        <w:rPr>
          <w:rFonts w:ascii="The Wave Sans TT" w:hAnsi="The Wave Sans TT" w:cs="Arial"/>
          <w:sz w:val="20"/>
          <w:szCs w:val="20"/>
        </w:rPr>
      </w:pPr>
      <w:bookmarkStart w:id="1" w:name="_Hlk127859812"/>
      <w:r w:rsidRPr="00920E2C">
        <w:rPr>
          <w:rFonts w:ascii="The Wave Sans TT" w:hAnsi="The Wave Sans TT" w:cs="Arial"/>
          <w:sz w:val="20"/>
          <w:szCs w:val="20"/>
        </w:rPr>
        <w:t>Στον κλάδο της Έρευνας και Παραγωγής Υδρογονανθράκων, πρόσφατα ολοκληρώθηκαν δισδιάστατες σεισμικές καταγραφές (2</w:t>
      </w:r>
      <w:r w:rsidRPr="00920E2C">
        <w:rPr>
          <w:rFonts w:ascii="The Wave Sans TT" w:hAnsi="The Wave Sans TT" w:cs="Arial"/>
          <w:sz w:val="20"/>
          <w:szCs w:val="20"/>
          <w:lang w:val="en-US"/>
        </w:rPr>
        <w:t>D</w:t>
      </w:r>
      <w:r w:rsidRPr="00920E2C">
        <w:rPr>
          <w:rFonts w:ascii="The Wave Sans TT" w:hAnsi="The Wave Sans TT" w:cs="Arial"/>
          <w:sz w:val="20"/>
          <w:szCs w:val="20"/>
        </w:rPr>
        <w:t xml:space="preserve">) σε 2 θαλάσσια οικόπεδα (Δυτικά Κρήτης, Νοτιοδυτικά Κρήτης) σε συνεργασία με την </w:t>
      </w:r>
      <w:r w:rsidRPr="00920E2C">
        <w:rPr>
          <w:rFonts w:ascii="The Wave Sans TT" w:hAnsi="The Wave Sans TT" w:cs="Arial"/>
          <w:sz w:val="20"/>
          <w:szCs w:val="20"/>
          <w:lang w:val="en-US"/>
        </w:rPr>
        <w:t>ExxonMobil</w:t>
      </w:r>
      <w:r w:rsidRPr="00920E2C">
        <w:rPr>
          <w:rFonts w:ascii="The Wave Sans TT" w:hAnsi="The Wave Sans TT" w:cs="Arial"/>
          <w:sz w:val="20"/>
          <w:szCs w:val="20"/>
        </w:rPr>
        <w:t>, ενώ υλοποιήθηκαν τρισδιάστατες σεισμικές καταγραφές σε άλλα 3 οικόπεδα (</w:t>
      </w:r>
      <w:r w:rsidRPr="00920E2C">
        <w:rPr>
          <w:rFonts w:ascii="The Wave Sans TT" w:hAnsi="The Wave Sans TT" w:cs="Arial"/>
          <w:sz w:val="20"/>
          <w:szCs w:val="20"/>
          <w:lang w:val="en-US"/>
        </w:rPr>
        <w:t>Block</w:t>
      </w:r>
      <w:r w:rsidRPr="00920E2C">
        <w:rPr>
          <w:rFonts w:ascii="The Wave Sans TT" w:hAnsi="The Wave Sans TT" w:cs="Arial"/>
          <w:sz w:val="20"/>
          <w:szCs w:val="20"/>
        </w:rPr>
        <w:t xml:space="preserve"> 2, </w:t>
      </w:r>
      <w:r w:rsidRPr="00920E2C">
        <w:rPr>
          <w:rFonts w:ascii="The Wave Sans TT" w:hAnsi="The Wave Sans TT" w:cs="Arial"/>
          <w:sz w:val="20"/>
          <w:szCs w:val="20"/>
          <w:lang w:val="en-US"/>
        </w:rPr>
        <w:t>Block</w:t>
      </w:r>
      <w:r w:rsidRPr="00920E2C">
        <w:rPr>
          <w:rFonts w:ascii="The Wave Sans TT" w:hAnsi="The Wave Sans TT" w:cs="Arial"/>
          <w:sz w:val="20"/>
          <w:szCs w:val="20"/>
        </w:rPr>
        <w:t xml:space="preserve"> </w:t>
      </w:r>
      <w:proofErr w:type="spellStart"/>
      <w:r w:rsidRPr="00920E2C">
        <w:rPr>
          <w:rFonts w:ascii="The Wave Sans TT" w:hAnsi="The Wave Sans TT" w:cs="Arial"/>
          <w:sz w:val="20"/>
          <w:szCs w:val="20"/>
          <w:lang w:val="en-US"/>
        </w:rPr>
        <w:t>Ionio</w:t>
      </w:r>
      <w:proofErr w:type="spellEnd"/>
      <w:r w:rsidRPr="00920E2C">
        <w:rPr>
          <w:rFonts w:ascii="The Wave Sans TT" w:hAnsi="The Wave Sans TT" w:cs="Arial"/>
          <w:sz w:val="20"/>
          <w:szCs w:val="20"/>
        </w:rPr>
        <w:t xml:space="preserve">, </w:t>
      </w:r>
      <w:r w:rsidRPr="00920E2C">
        <w:rPr>
          <w:rFonts w:ascii="The Wave Sans TT" w:hAnsi="The Wave Sans TT" w:cs="Arial"/>
          <w:sz w:val="20"/>
          <w:szCs w:val="20"/>
          <w:lang w:val="en-US"/>
        </w:rPr>
        <w:t>Block</w:t>
      </w:r>
      <w:r w:rsidRPr="00920E2C">
        <w:rPr>
          <w:rFonts w:ascii="The Wave Sans TT" w:hAnsi="The Wave Sans TT" w:cs="Arial"/>
          <w:sz w:val="20"/>
          <w:szCs w:val="20"/>
        </w:rPr>
        <w:t xml:space="preserve"> 10).</w:t>
      </w:r>
    </w:p>
    <w:bookmarkEnd w:id="1"/>
    <w:p w14:paraId="2A438A3D"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Σημαντική πρόοδος σημειώθηκε στην υλοποίηση του προγράμματος ψηφιακού μετασχηματισμού, με προγραμματισμένες συνολικές επενδύσεις άνω των €40 εκατ. και εκτιμώμενο </w:t>
      </w:r>
      <w:proofErr w:type="spellStart"/>
      <w:r w:rsidRPr="00920E2C">
        <w:rPr>
          <w:rFonts w:ascii="The Wave Sans TT" w:hAnsi="The Wave Sans TT" w:cs="Arial"/>
          <w:sz w:val="20"/>
          <w:szCs w:val="20"/>
        </w:rPr>
        <w:t>ετησιοποιημένο</w:t>
      </w:r>
      <w:proofErr w:type="spellEnd"/>
      <w:r w:rsidRPr="00920E2C">
        <w:rPr>
          <w:rFonts w:ascii="The Wave Sans TT" w:hAnsi="The Wave Sans TT" w:cs="Arial"/>
          <w:sz w:val="20"/>
          <w:szCs w:val="20"/>
        </w:rPr>
        <w:t xml:space="preserve"> όφελος από το 2025, ύψους €50 εκατ., με τα σωρευτικά οφέλη από την αρχή εφαρμογής του να ανέρχονται σε €27 εκατ.. </w:t>
      </w:r>
    </w:p>
    <w:p w14:paraId="7C1B2205" w14:textId="77777777" w:rsidR="00366699" w:rsidRPr="00920E2C" w:rsidRDefault="00366699" w:rsidP="00366699">
      <w:pPr>
        <w:spacing w:after="120"/>
        <w:jc w:val="both"/>
        <w:rPr>
          <w:rFonts w:ascii="The Wave Sans TT" w:hAnsi="The Wave Sans TT" w:cs="Arial"/>
          <w:b/>
          <w:sz w:val="10"/>
          <w:szCs w:val="20"/>
        </w:rPr>
      </w:pPr>
    </w:p>
    <w:p w14:paraId="37F50E2E" w14:textId="77777777" w:rsidR="00366699" w:rsidRPr="00920E2C" w:rsidRDefault="00366699" w:rsidP="00366699">
      <w:pPr>
        <w:spacing w:after="120"/>
        <w:jc w:val="both"/>
        <w:rPr>
          <w:rFonts w:ascii="The Wave Sans TT" w:hAnsi="The Wave Sans TT" w:cs="Arial"/>
          <w:b/>
          <w:sz w:val="20"/>
          <w:szCs w:val="20"/>
        </w:rPr>
      </w:pPr>
      <w:r w:rsidRPr="00920E2C">
        <w:rPr>
          <w:rFonts w:ascii="The Wave Sans TT" w:hAnsi="The Wave Sans TT" w:cs="Arial"/>
          <w:b/>
          <w:sz w:val="20"/>
          <w:szCs w:val="20"/>
        </w:rPr>
        <w:t>Μη προβλέψιμες εξελίξεις στις αγορές, με υψηλές τιμές σε αργό πετρέλαιο &amp; Δολάριο και ισχυρά διεθνή περιθώρια διύλισης</w:t>
      </w:r>
    </w:p>
    <w:p w14:paraId="4F2DD7FF"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Οι διεθνείς τιμές του αργού πετρελαίου και των προϊόντων αυξήθηκαν σημαντικά το 2022, με το πετρέλαιο τύπου </w:t>
      </w:r>
      <w:r w:rsidRPr="00920E2C">
        <w:rPr>
          <w:rFonts w:ascii="The Wave Sans TT" w:hAnsi="The Wave Sans TT" w:cs="Arial"/>
          <w:sz w:val="20"/>
          <w:szCs w:val="20"/>
          <w:lang w:val="en-US"/>
        </w:rPr>
        <w:t>Brent</w:t>
      </w:r>
      <w:r w:rsidRPr="00920E2C">
        <w:rPr>
          <w:rFonts w:ascii="The Wave Sans TT" w:hAnsi="The Wave Sans TT" w:cs="Arial"/>
          <w:sz w:val="20"/>
          <w:szCs w:val="20"/>
        </w:rPr>
        <w:t xml:space="preserve"> να καταγράφει αύξηση 43%</w:t>
      </w:r>
      <w:r>
        <w:rPr>
          <w:rFonts w:ascii="The Wave Sans TT" w:hAnsi="The Wave Sans TT" w:cs="Arial"/>
          <w:sz w:val="20"/>
          <w:szCs w:val="20"/>
        </w:rPr>
        <w:t>,</w:t>
      </w:r>
      <w:r w:rsidRPr="00920E2C">
        <w:rPr>
          <w:rFonts w:ascii="The Wave Sans TT" w:hAnsi="The Wave Sans TT" w:cs="Arial"/>
          <w:sz w:val="20"/>
          <w:szCs w:val="20"/>
        </w:rPr>
        <w:t xml:space="preserve"> κατά μέσο όρο</w:t>
      </w:r>
      <w:r>
        <w:rPr>
          <w:rFonts w:ascii="The Wave Sans TT" w:hAnsi="The Wave Sans TT" w:cs="Arial"/>
          <w:sz w:val="20"/>
          <w:szCs w:val="20"/>
        </w:rPr>
        <w:t>,</w:t>
      </w:r>
      <w:r w:rsidRPr="00920E2C">
        <w:rPr>
          <w:rFonts w:ascii="The Wave Sans TT" w:hAnsi="The Wave Sans TT" w:cs="Arial"/>
          <w:sz w:val="20"/>
          <w:szCs w:val="20"/>
        </w:rPr>
        <w:t xml:space="preserve"> στα $101/βαρέλι και σε ιδιαίτερα υψηλά επίπεδα κατά τη διάρκεια του Α’ Εξαμήνου ($108/βαρέλι κατά μέσο όρο), λόγω της εισβολής της Ρωσίας στην Ουκρανία σε συνδυασμό με την υψηλότερη ζήτηση, ως αποτέλεσμα της επιστροφής της οικονομικής δραστηριότητας μετά την πανδημία. Κατά τη διάρκεια του Β’ Εξαμήνου 2022, οι τιμές υποχώρησαν ελαφρώς στα $94/βαρέλι κατά μέσο όρο, ενώ ειδικότερα στο Δ’ Τρίμηνο διαμορφώθηκαν στα $89/βαρέλι.</w:t>
      </w:r>
    </w:p>
    <w:p w14:paraId="51C63A33" w14:textId="043977AF" w:rsidR="00366699" w:rsidRDefault="00366699" w:rsidP="009871E7">
      <w:pPr>
        <w:spacing w:after="120"/>
        <w:jc w:val="both"/>
        <w:rPr>
          <w:rFonts w:ascii="The Wave Sans TT" w:hAnsi="The Wave Sans TT" w:cs="Arial"/>
          <w:sz w:val="20"/>
          <w:szCs w:val="20"/>
        </w:rPr>
      </w:pPr>
      <w:r w:rsidRPr="00920E2C">
        <w:rPr>
          <w:rFonts w:ascii="The Wave Sans TT" w:hAnsi="The Wave Sans TT" w:cs="Arial"/>
          <w:sz w:val="20"/>
          <w:szCs w:val="20"/>
        </w:rPr>
        <w:t xml:space="preserve">Ο συνδυασμός των υψηλότερων τιμών πετρελαίου των τελευταίων ετών και η ισχυροποίηση του Δολαρίου, οδήγησαν σε ιδιαίτερα αυξημένες τιμές αργού πετρελαίου σε όρους Ευρώ, με τις τιμές </w:t>
      </w:r>
      <w:r w:rsidRPr="00920E2C">
        <w:rPr>
          <w:rFonts w:ascii="The Wave Sans TT" w:hAnsi="The Wave Sans TT" w:cs="Arial"/>
          <w:sz w:val="20"/>
          <w:szCs w:val="20"/>
          <w:lang w:val="en-US"/>
        </w:rPr>
        <w:t>Brent</w:t>
      </w:r>
      <w:r w:rsidRPr="00920E2C">
        <w:rPr>
          <w:rFonts w:ascii="The Wave Sans TT" w:hAnsi="The Wave Sans TT" w:cs="Arial"/>
          <w:sz w:val="20"/>
          <w:szCs w:val="20"/>
        </w:rPr>
        <w:t xml:space="preserve"> στα €96/βαρέλι κατά μέσο όρο το 2022, αυξημένες κατά 61% ετησίως, στα υψηλότερα επίπεδα ιστορικά.</w:t>
      </w:r>
    </w:p>
    <w:p w14:paraId="7D968F8C"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Σε ό,τι αφορά στα περιθώρια διύλισης, ενισχύθηκαν σημαντικά το 2022, κυρίως λόγω της διατάραξης των ισοζυγίων προσφοράς – ζήτησης, ιδίως στα προϊόντα μεσαίων κλασμάτων, που προκάλεσε η ρωσική εισβολή στην Ουκρανία και τις κυρώσεις που επιβλήθηκαν από τις δυτικές χώρες. Ειδικότερα, τα διεθνή περιθώρια αναφοράς </w:t>
      </w:r>
      <w:r w:rsidRPr="00920E2C">
        <w:rPr>
          <w:rFonts w:ascii="The Wave Sans TT" w:hAnsi="The Wave Sans TT" w:cs="Arial"/>
          <w:sz w:val="20"/>
          <w:szCs w:val="20"/>
          <w:lang w:val="en-US"/>
        </w:rPr>
        <w:t>FCC</w:t>
      </w:r>
      <w:r w:rsidRPr="00920E2C">
        <w:rPr>
          <w:rFonts w:ascii="The Wave Sans TT" w:hAnsi="The Wave Sans TT" w:cs="Arial"/>
          <w:sz w:val="20"/>
          <w:szCs w:val="20"/>
        </w:rPr>
        <w:t xml:space="preserve"> και </w:t>
      </w:r>
      <w:proofErr w:type="spellStart"/>
      <w:r w:rsidRPr="00920E2C">
        <w:rPr>
          <w:rFonts w:ascii="The Wave Sans TT" w:hAnsi="The Wave Sans TT" w:cs="Arial"/>
          <w:sz w:val="20"/>
          <w:szCs w:val="20"/>
        </w:rPr>
        <w:t>Hydrocracking</w:t>
      </w:r>
      <w:proofErr w:type="spellEnd"/>
      <w:r w:rsidRPr="00920E2C">
        <w:rPr>
          <w:rFonts w:ascii="The Wave Sans TT" w:hAnsi="The Wave Sans TT" w:cs="Arial"/>
          <w:sz w:val="20"/>
          <w:szCs w:val="20"/>
        </w:rPr>
        <w:t xml:space="preserve"> διαμορφώθηκαν το 2022 στα $11,5/βαρέλι και $13,2/βαρέλι αντιστοίχως, από $2,3/βαρέλι το 2021.</w:t>
      </w:r>
    </w:p>
    <w:p w14:paraId="140DF3AF" w14:textId="77777777" w:rsidR="00366699" w:rsidRPr="00920E2C" w:rsidRDefault="00366699" w:rsidP="00366699">
      <w:pPr>
        <w:spacing w:after="120"/>
        <w:jc w:val="both"/>
        <w:rPr>
          <w:rFonts w:ascii="The Wave Sans TT" w:hAnsi="The Wave Sans TT" w:cs="Arial"/>
          <w:b/>
          <w:sz w:val="10"/>
          <w:szCs w:val="20"/>
        </w:rPr>
      </w:pPr>
    </w:p>
    <w:p w14:paraId="764A43EF" w14:textId="77777777" w:rsidR="00366699" w:rsidRPr="00920E2C" w:rsidRDefault="00366699" w:rsidP="00366699">
      <w:pPr>
        <w:spacing w:after="120"/>
        <w:jc w:val="both"/>
        <w:rPr>
          <w:rFonts w:ascii="The Wave Sans TT" w:hAnsi="The Wave Sans TT" w:cs="Arial"/>
          <w:b/>
          <w:sz w:val="20"/>
          <w:szCs w:val="20"/>
        </w:rPr>
      </w:pPr>
      <w:r w:rsidRPr="00920E2C">
        <w:rPr>
          <w:rFonts w:ascii="The Wave Sans TT" w:hAnsi="The Wave Sans TT" w:cs="Arial"/>
          <w:b/>
          <w:sz w:val="20"/>
          <w:szCs w:val="20"/>
        </w:rPr>
        <w:t>Αυξημένη ζήτηση στην εγχώρια αγορά καυσίμων</w:t>
      </w:r>
    </w:p>
    <w:p w14:paraId="1A1D0CFB"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Η συνολική ζήτηση στην εγχώρια αγορά για επίγεια καύσιμα το 2022 ήταν κατά 5,5% υψηλότερη ετησίως, φτάνοντας τους 6,1 εκατ. τόνους. Η κατανάλωση καυσίμων κίνησης αυξήθηκε κατά 3,9% σε ετήσια βάση, λόγω ντίζελ, ως αποτέλεσμα της αυξημένης οικονομικής δραστηριότητας και του τουρισμού. Ενίσχυση κατά 13% υπήρξε στην κατανάλωση πετρελαίου θέρμανσης, καθώς, τόσο η Πολιτεία όσο και οι εγχώριες εταιρείες του κλάδου διύλισης, προχώρησαν σε ουσιαστικά μέτρα στήριξης της αγοράς και των καταναλωτών, εξομαλύνοντας τις επιπτώσεις της ενεργειακής κρίσης. Στην αδασμολόγητη αγορά, η κατανάλωση αεροπορικών καυσίμων βελτιώθηκε κατά 68%, λόγω αυξημένης πτητικής δραστηριότητας και επιβατικής κίνησης εν μέσω ενίσχυσης του τουρισμού, ενώ η κατανάλωση ναυτιλιακών καυσίμων ανέκαμψε κατά 6%.</w:t>
      </w:r>
    </w:p>
    <w:p w14:paraId="6787B50D" w14:textId="77777777" w:rsidR="00366699" w:rsidRPr="00920E2C" w:rsidRDefault="00366699" w:rsidP="00366699">
      <w:pPr>
        <w:spacing w:after="120"/>
        <w:jc w:val="both"/>
        <w:rPr>
          <w:rFonts w:ascii="The Wave Sans TT" w:hAnsi="The Wave Sans TT" w:cs="Arial"/>
          <w:b/>
          <w:sz w:val="10"/>
          <w:szCs w:val="20"/>
        </w:rPr>
      </w:pPr>
    </w:p>
    <w:p w14:paraId="5C399295"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b/>
          <w:sz w:val="20"/>
          <w:szCs w:val="20"/>
        </w:rPr>
        <w:t xml:space="preserve">Ισολογισμός και επενδυτικές δαπάνες </w:t>
      </w:r>
    </w:p>
    <w:p w14:paraId="27B93652"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 xml:space="preserve">Παρά την ενεργειακή κρίση και τις αυξημένες τιμές πετρελαιοειδών το 2022 </w:t>
      </w:r>
      <w:r>
        <w:rPr>
          <w:rFonts w:ascii="The Wave Sans TT" w:hAnsi="The Wave Sans TT" w:cs="Arial"/>
          <w:sz w:val="20"/>
          <w:szCs w:val="20"/>
        </w:rPr>
        <w:t>-</w:t>
      </w:r>
      <w:r w:rsidRPr="00920E2C">
        <w:rPr>
          <w:rFonts w:ascii="The Wave Sans TT" w:hAnsi="The Wave Sans TT" w:cs="Arial"/>
          <w:sz w:val="20"/>
          <w:szCs w:val="20"/>
        </w:rPr>
        <w:t>που συνεπάγονται επιπλέον ανάγκες κεφαλαίου κίνησης</w:t>
      </w:r>
      <w:r>
        <w:rPr>
          <w:rFonts w:ascii="The Wave Sans TT" w:hAnsi="The Wave Sans TT" w:cs="Arial"/>
          <w:sz w:val="20"/>
          <w:szCs w:val="20"/>
        </w:rPr>
        <w:t>-</w:t>
      </w:r>
      <w:r w:rsidRPr="00920E2C">
        <w:rPr>
          <w:rFonts w:ascii="The Wave Sans TT" w:hAnsi="The Wave Sans TT" w:cs="Arial"/>
          <w:sz w:val="20"/>
          <w:szCs w:val="20"/>
        </w:rPr>
        <w:t>, των υψηλότερων επενδύσεων και των αυξημένων διανομών στους μετόχους, οι αυξημένες λειτουργικές ταμειακές ροές και τα έσοδα από την πώληση της ΔΕΠΑ Υποδομών, συνετέλεσαν στην ισχυροποίηση του ισολογισμού. Ως αποτέλεσμα, ο καθαρός δανεισμός διαμορφώθηκε σε €1,94 δισ., με το</w:t>
      </w:r>
      <w:r>
        <w:rPr>
          <w:rFonts w:ascii="The Wave Sans TT" w:hAnsi="The Wave Sans TT" w:cs="Arial"/>
          <w:sz w:val="20"/>
          <w:szCs w:val="20"/>
        </w:rPr>
        <w:t>ν</w:t>
      </w:r>
      <w:r w:rsidRPr="00920E2C">
        <w:rPr>
          <w:rFonts w:ascii="The Wave Sans TT" w:hAnsi="The Wave Sans TT" w:cs="Arial"/>
          <w:sz w:val="20"/>
          <w:szCs w:val="20"/>
        </w:rPr>
        <w:t xml:space="preserve"> δείκτη δανειακής </w:t>
      </w:r>
      <w:proofErr w:type="spellStart"/>
      <w:r w:rsidRPr="00920E2C">
        <w:rPr>
          <w:rFonts w:ascii="The Wave Sans TT" w:hAnsi="The Wave Sans TT" w:cs="Arial"/>
          <w:sz w:val="20"/>
          <w:szCs w:val="20"/>
        </w:rPr>
        <w:t>μόχλευσης</w:t>
      </w:r>
      <w:proofErr w:type="spellEnd"/>
      <w:r w:rsidRPr="00920E2C">
        <w:rPr>
          <w:rFonts w:ascii="The Wave Sans TT" w:hAnsi="The Wave Sans TT" w:cs="Arial"/>
          <w:sz w:val="20"/>
          <w:szCs w:val="20"/>
        </w:rPr>
        <w:t xml:space="preserve"> (καθαρός δανεισμός προς συνολικά κεφάλαια) να διαμορφώνεται στο 42% από 48% το 2021. </w:t>
      </w:r>
    </w:p>
    <w:p w14:paraId="0765B99D" w14:textId="77777777" w:rsidR="00366699" w:rsidRPr="00920E2C" w:rsidRDefault="00366699" w:rsidP="00366699">
      <w:pPr>
        <w:spacing w:after="120"/>
        <w:jc w:val="both"/>
        <w:rPr>
          <w:rFonts w:ascii="The Wave Sans TT" w:hAnsi="The Wave Sans TT" w:cs="Arial"/>
          <w:sz w:val="20"/>
          <w:szCs w:val="20"/>
        </w:rPr>
      </w:pPr>
      <w:r w:rsidRPr="00920E2C">
        <w:rPr>
          <w:rFonts w:ascii="The Wave Sans TT" w:hAnsi="The Wave Sans TT" w:cs="Arial"/>
          <w:sz w:val="20"/>
          <w:szCs w:val="20"/>
        </w:rPr>
        <w:t>Επιπλέον, ολοκληρώθηκε επιτυχώς η αναχρηματοδότηση τραπεζικών δανείων συνολικού ύψους €1,2 δισ., με βελτίωση εμπορικών όρων, καθώς και του προφίλ ωρίμασης των πιστωτικών γραμμών του Ομίλου.</w:t>
      </w:r>
    </w:p>
    <w:p w14:paraId="648E7CFF" w14:textId="77777777" w:rsidR="00366699" w:rsidRPr="00920E2C" w:rsidRDefault="00366699" w:rsidP="00366699">
      <w:pPr>
        <w:spacing w:after="120"/>
        <w:jc w:val="both"/>
        <w:rPr>
          <w:rFonts w:ascii="The Wave Sans TT" w:eastAsia="PMingLiU" w:hAnsi="The Wave Sans TT" w:cs="Arial"/>
          <w:b/>
          <w:snapToGrid w:val="0"/>
          <w:sz w:val="20"/>
          <w:szCs w:val="20"/>
          <w:lang w:eastAsia="ja-JP"/>
        </w:rPr>
      </w:pPr>
      <w:r w:rsidRPr="00920E2C">
        <w:rPr>
          <w:rFonts w:ascii="The Wave Sans TT" w:hAnsi="The Wave Sans TT" w:cs="Arial"/>
          <w:sz w:val="20"/>
          <w:szCs w:val="20"/>
        </w:rPr>
        <w:t xml:space="preserve">Οι επενδυτικές δαπάνες ανήλθαν σε €512 εκατ., αυξημένες σε σχέση με το 2021, κυρίως λόγω των προγραμμάτων συντήρησης στα 3 διυλιστήρια και της εξαγοράς των αιολικών πάρκων στη Μάνη (55 </w:t>
      </w:r>
      <w:r w:rsidRPr="00920E2C">
        <w:rPr>
          <w:rFonts w:ascii="The Wave Sans TT" w:hAnsi="The Wave Sans TT" w:cs="Arial"/>
          <w:sz w:val="20"/>
          <w:szCs w:val="20"/>
          <w:lang w:val="en-US"/>
        </w:rPr>
        <w:t>MW</w:t>
      </w:r>
      <w:r w:rsidRPr="00920E2C">
        <w:rPr>
          <w:rFonts w:ascii="The Wave Sans TT" w:hAnsi="The Wave Sans TT" w:cs="Arial"/>
          <w:sz w:val="20"/>
          <w:szCs w:val="20"/>
        </w:rPr>
        <w:t>).</w:t>
      </w:r>
    </w:p>
    <w:p w14:paraId="495E2EFC" w14:textId="77777777" w:rsidR="00366699"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p>
    <w:p w14:paraId="3D3D460D" w14:textId="77777777" w:rsidR="00366699" w:rsidRPr="00920E2C" w:rsidRDefault="00366699" w:rsidP="00366699">
      <w:pPr>
        <w:widowControl w:val="0"/>
        <w:adjustRightInd w:val="0"/>
        <w:snapToGrid w:val="0"/>
        <w:spacing w:after="120"/>
        <w:ind w:right="26"/>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b/>
          <w:snapToGrid w:val="0"/>
          <w:sz w:val="20"/>
          <w:szCs w:val="20"/>
          <w:lang w:eastAsia="ja-JP"/>
        </w:rPr>
        <w:t xml:space="preserve">Σχολιάζοντας τα αποτελέσματα, ο Διευθύνων Σύμβουλος της </w:t>
      </w:r>
      <w:r w:rsidRPr="00920E2C">
        <w:rPr>
          <w:rFonts w:ascii="The Wave Sans TT" w:eastAsia="PMingLiU" w:hAnsi="The Wave Sans TT" w:cs="Arial"/>
          <w:b/>
          <w:snapToGrid w:val="0"/>
          <w:sz w:val="20"/>
          <w:szCs w:val="20"/>
          <w:lang w:val="en-US" w:eastAsia="ja-JP"/>
        </w:rPr>
        <w:t>HELLENiQ</w:t>
      </w:r>
      <w:r w:rsidRPr="00920E2C">
        <w:rPr>
          <w:rFonts w:ascii="The Wave Sans TT" w:eastAsia="PMingLiU" w:hAnsi="The Wave Sans TT" w:cs="Arial"/>
          <w:b/>
          <w:snapToGrid w:val="0"/>
          <w:sz w:val="20"/>
          <w:szCs w:val="20"/>
          <w:lang w:eastAsia="ja-JP"/>
        </w:rPr>
        <w:t xml:space="preserve"> </w:t>
      </w:r>
      <w:r w:rsidRPr="00920E2C">
        <w:rPr>
          <w:rFonts w:ascii="The Wave Sans TT" w:eastAsia="PMingLiU" w:hAnsi="The Wave Sans TT" w:cs="Arial"/>
          <w:b/>
          <w:snapToGrid w:val="0"/>
          <w:sz w:val="20"/>
          <w:szCs w:val="20"/>
          <w:lang w:val="en-US" w:eastAsia="ja-JP"/>
        </w:rPr>
        <w:t>ENERGY</w:t>
      </w:r>
      <w:r w:rsidRPr="00920E2C">
        <w:rPr>
          <w:rFonts w:ascii="The Wave Sans TT" w:eastAsia="PMingLiU" w:hAnsi="The Wave Sans TT" w:cs="Arial"/>
          <w:b/>
          <w:snapToGrid w:val="0"/>
          <w:sz w:val="20"/>
          <w:szCs w:val="20"/>
          <w:lang w:eastAsia="ja-JP"/>
        </w:rPr>
        <w:t xml:space="preserve"> </w:t>
      </w:r>
      <w:r w:rsidRPr="00920E2C">
        <w:rPr>
          <w:rFonts w:ascii="The Wave Sans TT" w:eastAsia="PMingLiU" w:hAnsi="The Wave Sans TT" w:cs="Arial"/>
          <w:b/>
          <w:snapToGrid w:val="0"/>
          <w:sz w:val="20"/>
          <w:szCs w:val="20"/>
          <w:lang w:val="en-US" w:eastAsia="ja-JP"/>
        </w:rPr>
        <w:t>Holdings</w:t>
      </w:r>
      <w:r w:rsidRPr="00920E2C">
        <w:rPr>
          <w:rFonts w:ascii="The Wave Sans TT" w:eastAsia="PMingLiU" w:hAnsi="The Wave Sans TT" w:cs="Arial"/>
          <w:b/>
          <w:snapToGrid w:val="0"/>
          <w:sz w:val="20"/>
          <w:szCs w:val="20"/>
          <w:lang w:eastAsia="ja-JP"/>
        </w:rPr>
        <w:t xml:space="preserve"> </w:t>
      </w:r>
      <w:r w:rsidRPr="00920E2C">
        <w:rPr>
          <w:rFonts w:ascii="The Wave Sans TT" w:eastAsia="PMingLiU" w:hAnsi="The Wave Sans TT" w:cs="Arial"/>
          <w:b/>
          <w:snapToGrid w:val="0"/>
          <w:sz w:val="20"/>
          <w:szCs w:val="20"/>
          <w:lang w:val="en-US" w:eastAsia="ja-JP"/>
        </w:rPr>
        <w:t>A</w:t>
      </w:r>
      <w:r w:rsidRPr="00920E2C">
        <w:rPr>
          <w:rFonts w:ascii="The Wave Sans TT" w:eastAsia="PMingLiU" w:hAnsi="The Wave Sans TT" w:cs="Arial"/>
          <w:b/>
          <w:snapToGrid w:val="0"/>
          <w:sz w:val="20"/>
          <w:szCs w:val="20"/>
          <w:lang w:eastAsia="ja-JP"/>
        </w:rPr>
        <w:t>.</w:t>
      </w:r>
      <w:r w:rsidRPr="00920E2C">
        <w:rPr>
          <w:rFonts w:ascii="The Wave Sans TT" w:eastAsia="PMingLiU" w:hAnsi="The Wave Sans TT" w:cs="Arial"/>
          <w:b/>
          <w:snapToGrid w:val="0"/>
          <w:sz w:val="20"/>
          <w:szCs w:val="20"/>
          <w:lang w:val="en-US" w:eastAsia="ja-JP"/>
        </w:rPr>
        <w:t>E</w:t>
      </w:r>
      <w:r w:rsidRPr="00920E2C">
        <w:rPr>
          <w:rFonts w:ascii="The Wave Sans TT" w:eastAsia="PMingLiU" w:hAnsi="The Wave Sans TT" w:cs="Arial"/>
          <w:b/>
          <w:snapToGrid w:val="0"/>
          <w:sz w:val="20"/>
          <w:szCs w:val="20"/>
          <w:lang w:eastAsia="ja-JP"/>
        </w:rPr>
        <w:t xml:space="preserve">., Ανδρέας </w:t>
      </w:r>
      <w:proofErr w:type="spellStart"/>
      <w:r w:rsidRPr="00920E2C">
        <w:rPr>
          <w:rFonts w:ascii="The Wave Sans TT" w:eastAsia="PMingLiU" w:hAnsi="The Wave Sans TT" w:cs="Arial"/>
          <w:b/>
          <w:snapToGrid w:val="0"/>
          <w:sz w:val="20"/>
          <w:szCs w:val="20"/>
          <w:lang w:eastAsia="ja-JP"/>
        </w:rPr>
        <w:t>Σιάμισιης</w:t>
      </w:r>
      <w:proofErr w:type="spellEnd"/>
      <w:r w:rsidRPr="00920E2C">
        <w:rPr>
          <w:rFonts w:ascii="The Wave Sans TT" w:eastAsia="PMingLiU" w:hAnsi="The Wave Sans TT" w:cs="Arial"/>
          <w:b/>
          <w:snapToGrid w:val="0"/>
          <w:sz w:val="20"/>
          <w:szCs w:val="20"/>
          <w:lang w:eastAsia="ja-JP"/>
        </w:rPr>
        <w:t>, επεσήμανε:</w:t>
      </w:r>
    </w:p>
    <w:p w14:paraId="55629EB5" w14:textId="4779BF76" w:rsidR="00366699" w:rsidRDefault="00366699" w:rsidP="009871E7">
      <w:pPr>
        <w:spacing w:after="120"/>
        <w:jc w:val="both"/>
        <w:rPr>
          <w:rFonts w:ascii="The Wave Sans TT" w:hAnsi="The Wave Sans TT" w:cs="Arial"/>
          <w:i/>
          <w:sz w:val="20"/>
          <w:szCs w:val="20"/>
        </w:rPr>
      </w:pPr>
      <w:r w:rsidRPr="00920E2C">
        <w:rPr>
          <w:rFonts w:ascii="The Wave Sans TT" w:hAnsi="The Wave Sans TT" w:cs="Arial"/>
          <w:i/>
          <w:sz w:val="20"/>
          <w:szCs w:val="20"/>
        </w:rPr>
        <w:t>«Το 2022 χαρακτηρίστηκε από πολλαπλές προκλήσεις σε όλα τα μέτωπα. Σημαντικότερη για το περιβάλλον μας ήταν η ενεργειακή κρίση, ιδιαίτερα μετά τη Ρωσική εισβολή στην Ουκρανία, με αλυσιδωτές επιδράσεις σε σειρά κλάδων της οικονομικής δραστηριότητας -πέρα από τα ενεργειακά - και αυξημένη αβεβαιότητα για τις μελλοντικές εξελίξεις. Ξεκινήσαμε τη χρονιά με ένα φιλόδοξο στρατηγικό πρόγραμμα μετασχηματισμού το οποίο επέβαλλε τις δικές του απαιτήσεις στη</w:t>
      </w:r>
      <w:r>
        <w:rPr>
          <w:rFonts w:ascii="The Wave Sans TT" w:hAnsi="The Wave Sans TT" w:cs="Arial"/>
          <w:i/>
          <w:sz w:val="20"/>
          <w:szCs w:val="20"/>
        </w:rPr>
        <w:t>ν</w:t>
      </w:r>
      <w:r w:rsidRPr="00920E2C">
        <w:rPr>
          <w:rFonts w:ascii="The Wave Sans TT" w:hAnsi="The Wave Sans TT" w:cs="Arial"/>
          <w:i/>
          <w:sz w:val="20"/>
          <w:szCs w:val="20"/>
        </w:rPr>
        <w:t xml:space="preserve"> καθημερινότητά μας και, φυσικά, με τις συνεχείς λειτουργικές απαιτήσεις και την πολυπλοκότητα που έχει ένας όμιλος όπως ο δικός μας.</w:t>
      </w:r>
    </w:p>
    <w:p w14:paraId="2A727C11" w14:textId="7F97DF42" w:rsidR="00366699" w:rsidRPr="00920E2C" w:rsidRDefault="00366699" w:rsidP="00366699">
      <w:pPr>
        <w:spacing w:after="120"/>
        <w:jc w:val="both"/>
        <w:rPr>
          <w:rFonts w:ascii="The Wave Sans TT" w:hAnsi="The Wave Sans TT" w:cs="Arial"/>
          <w:i/>
          <w:sz w:val="20"/>
          <w:szCs w:val="20"/>
        </w:rPr>
      </w:pPr>
      <w:r w:rsidRPr="00920E2C">
        <w:rPr>
          <w:rFonts w:ascii="The Wave Sans TT" w:hAnsi="The Wave Sans TT" w:cs="Arial"/>
          <w:i/>
          <w:sz w:val="20"/>
          <w:szCs w:val="20"/>
        </w:rPr>
        <w:t>Ο απολογισμός τ</w:t>
      </w:r>
      <w:r w:rsidR="00E62C9B">
        <w:rPr>
          <w:rFonts w:ascii="The Wave Sans TT" w:hAnsi="The Wave Sans TT" w:cs="Arial"/>
          <w:i/>
          <w:sz w:val="20"/>
          <w:szCs w:val="20"/>
        </w:rPr>
        <w:t>ή</w:t>
      </w:r>
      <w:r w:rsidRPr="00920E2C">
        <w:rPr>
          <w:rFonts w:ascii="The Wave Sans TT" w:hAnsi="The Wave Sans TT" w:cs="Arial"/>
          <w:i/>
          <w:sz w:val="20"/>
          <w:szCs w:val="20"/>
        </w:rPr>
        <w:t>ς χρονιάς, μας βρίσκει με θετικό πρόσημο σε όλα αυτά που μπορούσαμε να επηρεάσουμε. Αρχικά, η διαχείριση της ενεργειακής κρίσης έγινε με επιτυχία, εκμεταλλευόμενοι τις καλές σχέσεις με παραδοσιακούς προμηθευτές αργών πετρελαίων, αλλά και την ευελιξία που δίνουν τα σύγχρονα διυλιστήρια. Κατορθώσαμε σε πολύ σύντομο χρόνο να αντικαταστήσουμε όλα τ</w:t>
      </w:r>
      <w:r w:rsidRPr="00794741">
        <w:rPr>
          <w:rFonts w:ascii="The Wave Sans TT" w:hAnsi="The Wave Sans TT" w:cs="Arial"/>
          <w:i/>
          <w:sz w:val="20"/>
          <w:szCs w:val="20"/>
        </w:rPr>
        <w:t xml:space="preserve">α </w:t>
      </w:r>
      <w:r w:rsidR="00130927">
        <w:rPr>
          <w:rFonts w:ascii="The Wave Sans TT" w:hAnsi="The Wave Sans TT" w:cs="Arial"/>
          <w:i/>
          <w:sz w:val="20"/>
          <w:szCs w:val="20"/>
        </w:rPr>
        <w:t>αμφιλεγόμενα</w:t>
      </w:r>
      <w:r w:rsidRPr="00794741">
        <w:rPr>
          <w:rFonts w:ascii="The Wave Sans TT" w:hAnsi="The Wave Sans TT" w:cs="Arial"/>
          <w:i/>
          <w:sz w:val="20"/>
          <w:szCs w:val="20"/>
        </w:rPr>
        <w:t xml:space="preserve"> αργά πετρέλαια και προϊόντα, χωρίς να παρουσιαστεί κανένα πρόβλημα στην Ελληνική αγορά. Ταυτόχρονα, όλες</w:t>
      </w:r>
      <w:r w:rsidRPr="00920E2C">
        <w:rPr>
          <w:rFonts w:ascii="The Wave Sans TT" w:hAnsi="The Wave Sans TT" w:cs="Arial"/>
          <w:i/>
          <w:sz w:val="20"/>
          <w:szCs w:val="20"/>
        </w:rPr>
        <w:t xml:space="preserve"> οι ενέργειες για το</w:t>
      </w:r>
      <w:r>
        <w:rPr>
          <w:rFonts w:ascii="The Wave Sans TT" w:hAnsi="The Wave Sans TT" w:cs="Arial"/>
          <w:i/>
          <w:sz w:val="20"/>
          <w:szCs w:val="20"/>
        </w:rPr>
        <w:t>ν</w:t>
      </w:r>
      <w:r w:rsidRPr="00920E2C">
        <w:rPr>
          <w:rFonts w:ascii="The Wave Sans TT" w:hAnsi="The Wave Sans TT" w:cs="Arial"/>
          <w:i/>
          <w:sz w:val="20"/>
          <w:szCs w:val="20"/>
        </w:rPr>
        <w:t xml:space="preserve"> μετασχηματισμό του Ομίλου προχώρησαν γρήγορα και πετυχημένα, επιτρέποντάς μας να αποκτήσουμε μια βελτιωμένη και πιο καθαρή θέση στη νέα ενεργειακή αγορά. Σε λειτουργικό επίπεδο, η </w:t>
      </w:r>
      <w:r w:rsidR="00E62C9B">
        <w:rPr>
          <w:rFonts w:ascii="The Wave Sans TT" w:hAnsi="The Wave Sans TT" w:cs="Arial"/>
          <w:i/>
          <w:sz w:val="20"/>
          <w:szCs w:val="20"/>
        </w:rPr>
        <w:t>Ε</w:t>
      </w:r>
      <w:r w:rsidRPr="00920E2C">
        <w:rPr>
          <w:rFonts w:ascii="The Wave Sans TT" w:hAnsi="The Wave Sans TT" w:cs="Arial"/>
          <w:i/>
          <w:sz w:val="20"/>
          <w:szCs w:val="20"/>
        </w:rPr>
        <w:t>ταιρ</w:t>
      </w:r>
      <w:r>
        <w:rPr>
          <w:rFonts w:ascii="The Wave Sans TT" w:hAnsi="The Wave Sans TT" w:cs="Arial"/>
          <w:i/>
          <w:sz w:val="20"/>
          <w:szCs w:val="20"/>
        </w:rPr>
        <w:t>ε</w:t>
      </w:r>
      <w:r w:rsidRPr="00920E2C">
        <w:rPr>
          <w:rFonts w:ascii="The Wave Sans TT" w:hAnsi="The Wave Sans TT" w:cs="Arial"/>
          <w:i/>
          <w:sz w:val="20"/>
          <w:szCs w:val="20"/>
        </w:rPr>
        <w:t>ία πέτυχε τα καλύτερα αποτελέσματα στη</w:t>
      </w:r>
      <w:r>
        <w:rPr>
          <w:rFonts w:ascii="The Wave Sans TT" w:hAnsi="The Wave Sans TT" w:cs="Arial"/>
          <w:i/>
          <w:sz w:val="20"/>
          <w:szCs w:val="20"/>
        </w:rPr>
        <w:t>ν</w:t>
      </w:r>
      <w:r w:rsidRPr="00920E2C">
        <w:rPr>
          <w:rFonts w:ascii="The Wave Sans TT" w:hAnsi="The Wave Sans TT" w:cs="Arial"/>
          <w:i/>
          <w:sz w:val="20"/>
          <w:szCs w:val="20"/>
        </w:rPr>
        <w:t xml:space="preserve"> ιστορία της, τόσο ως αποτέλεσμα του περιβάλλοντος, αλλά και των επιλογών που έγιναν και, κυρίως, τη</w:t>
      </w:r>
      <w:r>
        <w:rPr>
          <w:rFonts w:ascii="The Wave Sans TT" w:hAnsi="The Wave Sans TT" w:cs="Arial"/>
          <w:i/>
          <w:sz w:val="20"/>
          <w:szCs w:val="20"/>
        </w:rPr>
        <w:t>ν</w:t>
      </w:r>
      <w:r w:rsidRPr="00920E2C">
        <w:rPr>
          <w:rFonts w:ascii="The Wave Sans TT" w:hAnsi="The Wave Sans TT" w:cs="Arial"/>
          <w:i/>
          <w:sz w:val="20"/>
          <w:szCs w:val="20"/>
        </w:rPr>
        <w:t xml:space="preserve"> ευελιξία και προσπάθεια όλων των εργαζομένων μας. Κέρδη που επέτρεψαν να προχωρήσουμε σε σημαντικές ενέργειες στήριξης της κοινωνίας που είχε ανάγκη, είτε με </w:t>
      </w:r>
      <w:proofErr w:type="spellStart"/>
      <w:r w:rsidRPr="00920E2C">
        <w:rPr>
          <w:rFonts w:ascii="The Wave Sans TT" w:hAnsi="The Wave Sans TT" w:cs="Arial"/>
          <w:i/>
          <w:sz w:val="20"/>
          <w:szCs w:val="20"/>
        </w:rPr>
        <w:t>στοχευμένες</w:t>
      </w:r>
      <w:proofErr w:type="spellEnd"/>
      <w:r w:rsidRPr="00920E2C">
        <w:rPr>
          <w:rFonts w:ascii="The Wave Sans TT" w:hAnsi="The Wave Sans TT" w:cs="Arial"/>
          <w:i/>
          <w:sz w:val="20"/>
          <w:szCs w:val="20"/>
        </w:rPr>
        <w:t xml:space="preserve"> πρωτοβουλίες όπως τα καύσιμα σε νοσοκομεία και πολύτεκνες οικογένειες, είτε μέσω μιας διαφοροποίησης στην εμπορική μας πολιτική που είχε ως με αποδέκτες μεγαλύτερες ομάδες καταναλωτών.</w:t>
      </w:r>
    </w:p>
    <w:p w14:paraId="050E7085" w14:textId="77777777" w:rsidR="00366699" w:rsidRPr="00920E2C" w:rsidRDefault="00366699" w:rsidP="00366699">
      <w:pPr>
        <w:spacing w:after="120"/>
        <w:jc w:val="both"/>
        <w:rPr>
          <w:rFonts w:ascii="The Wave Sans TT" w:hAnsi="The Wave Sans TT" w:cs="Arial"/>
          <w:i/>
          <w:sz w:val="20"/>
          <w:szCs w:val="20"/>
        </w:rPr>
      </w:pPr>
      <w:r w:rsidRPr="00920E2C">
        <w:rPr>
          <w:rFonts w:ascii="The Wave Sans TT" w:hAnsi="The Wave Sans TT" w:cs="Arial"/>
          <w:i/>
          <w:sz w:val="20"/>
          <w:szCs w:val="20"/>
        </w:rPr>
        <w:t>Έχοντας όλα αυτά υπόψη, το Δ.Σ. αποφάσισε να προτείνει τελικό μέρισμα στη Γενική Συνέλευση €0,50/μετοχή, φέρνοντας το συνολικό ποσό διανομής από τα αποτελέσματα της χρήσης σ</w:t>
      </w:r>
      <w:r>
        <w:rPr>
          <w:rFonts w:ascii="The Wave Sans TT" w:hAnsi="The Wave Sans TT" w:cs="Arial"/>
          <w:i/>
          <w:sz w:val="20"/>
          <w:szCs w:val="20"/>
        </w:rPr>
        <w:t>το</w:t>
      </w:r>
      <w:r w:rsidRPr="00920E2C">
        <w:rPr>
          <w:rFonts w:ascii="The Wave Sans TT" w:hAnsi="The Wave Sans TT" w:cs="Arial"/>
          <w:i/>
          <w:sz w:val="20"/>
          <w:szCs w:val="20"/>
        </w:rPr>
        <w:t xml:space="preserve"> €1,15/μετοχή. </w:t>
      </w:r>
    </w:p>
    <w:p w14:paraId="15FF57B7" w14:textId="2493264C" w:rsidR="00366699" w:rsidRPr="00920E2C" w:rsidRDefault="00366699" w:rsidP="00366699">
      <w:pPr>
        <w:spacing w:after="120"/>
        <w:jc w:val="both"/>
        <w:rPr>
          <w:rFonts w:ascii="The Wave Sans TT" w:hAnsi="The Wave Sans TT" w:cs="Arial"/>
          <w:i/>
          <w:sz w:val="20"/>
          <w:szCs w:val="20"/>
        </w:rPr>
      </w:pPr>
      <w:r w:rsidRPr="00920E2C">
        <w:rPr>
          <w:rFonts w:ascii="The Wave Sans TT" w:hAnsi="The Wave Sans TT" w:cs="Arial"/>
          <w:i/>
          <w:sz w:val="20"/>
          <w:szCs w:val="20"/>
        </w:rPr>
        <w:t xml:space="preserve">Κλείνοντας, θέλω να εκφράσω την ικανοποίηση της Διοίκησης για την πορεία της </w:t>
      </w:r>
      <w:r>
        <w:rPr>
          <w:rFonts w:ascii="The Wave Sans TT" w:hAnsi="The Wave Sans TT" w:cs="Arial"/>
          <w:i/>
          <w:sz w:val="20"/>
          <w:szCs w:val="20"/>
        </w:rPr>
        <w:t>Ε</w:t>
      </w:r>
      <w:r w:rsidRPr="00920E2C">
        <w:rPr>
          <w:rFonts w:ascii="The Wave Sans TT" w:hAnsi="The Wave Sans TT" w:cs="Arial"/>
          <w:i/>
          <w:sz w:val="20"/>
          <w:szCs w:val="20"/>
        </w:rPr>
        <w:t>ταιρ</w:t>
      </w:r>
      <w:r>
        <w:rPr>
          <w:rFonts w:ascii="The Wave Sans TT" w:hAnsi="The Wave Sans TT" w:cs="Arial"/>
          <w:i/>
          <w:sz w:val="20"/>
          <w:szCs w:val="20"/>
        </w:rPr>
        <w:t>ε</w:t>
      </w:r>
      <w:r w:rsidRPr="00920E2C">
        <w:rPr>
          <w:rFonts w:ascii="The Wave Sans TT" w:hAnsi="The Wave Sans TT" w:cs="Arial"/>
          <w:i/>
          <w:sz w:val="20"/>
          <w:szCs w:val="20"/>
        </w:rPr>
        <w:t>ίας και να ευχαριστήσω και πάλι όλους τους εργαζόμενους και συνεργάτες μας, για την ουσιαστική συνεισφορά τους στην επίτευξη αυτών των αποτελεσμάτων»</w:t>
      </w:r>
      <w:r>
        <w:rPr>
          <w:rFonts w:ascii="The Wave Sans TT" w:hAnsi="The Wave Sans TT" w:cs="Arial"/>
          <w:i/>
          <w:sz w:val="20"/>
          <w:szCs w:val="20"/>
        </w:rPr>
        <w:t>.</w:t>
      </w:r>
    </w:p>
    <w:p w14:paraId="7FD4C033"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snapToGrid w:val="0"/>
          <w:sz w:val="20"/>
          <w:szCs w:val="20"/>
          <w:lang w:eastAsia="ja-JP"/>
        </w:rPr>
      </w:pPr>
    </w:p>
    <w:p w14:paraId="00738023" w14:textId="77777777" w:rsidR="009871E7" w:rsidRDefault="009871E7" w:rsidP="00366699">
      <w:pPr>
        <w:widowControl w:val="0"/>
        <w:adjustRightInd w:val="0"/>
        <w:snapToGrid w:val="0"/>
        <w:spacing w:after="120"/>
        <w:ind w:right="26" w:firstLine="11"/>
        <w:jc w:val="both"/>
        <w:textAlignment w:val="baseline"/>
        <w:rPr>
          <w:rFonts w:ascii="The Wave Sans TT" w:eastAsia="PMingLiU" w:hAnsi="The Wave Sans TT" w:cs="Arial"/>
          <w:snapToGrid w:val="0"/>
          <w:sz w:val="20"/>
          <w:szCs w:val="20"/>
          <w:u w:val="single"/>
          <w:lang w:eastAsia="ja-JP"/>
        </w:rPr>
      </w:pPr>
    </w:p>
    <w:p w14:paraId="1FDE51A0" w14:textId="24B2F526" w:rsidR="00366699" w:rsidRPr="00920E2C" w:rsidRDefault="00366699" w:rsidP="00366699">
      <w:pPr>
        <w:widowControl w:val="0"/>
        <w:adjustRightInd w:val="0"/>
        <w:snapToGrid w:val="0"/>
        <w:spacing w:after="120"/>
        <w:ind w:right="26" w:firstLine="11"/>
        <w:jc w:val="both"/>
        <w:textAlignment w:val="baseline"/>
        <w:rPr>
          <w:rFonts w:ascii="The Wave Sans TT" w:eastAsia="PMingLiU" w:hAnsi="The Wave Sans TT" w:cs="Arial"/>
          <w:snapToGrid w:val="0"/>
          <w:sz w:val="20"/>
          <w:szCs w:val="20"/>
          <w:u w:val="single"/>
          <w:lang w:eastAsia="ja-JP"/>
        </w:rPr>
      </w:pPr>
      <w:r w:rsidRPr="00920E2C">
        <w:rPr>
          <w:rFonts w:ascii="The Wave Sans TT" w:eastAsia="PMingLiU" w:hAnsi="The Wave Sans TT" w:cs="Arial"/>
          <w:snapToGrid w:val="0"/>
          <w:sz w:val="20"/>
          <w:szCs w:val="20"/>
          <w:u w:val="single"/>
          <w:lang w:eastAsia="ja-JP"/>
        </w:rPr>
        <w:t>Κύρια σημεία των αποτελεσμάτων Δ’ Τριμήνου / Έτους 2022 για τις επιμέρους επιχειρηματικές δραστηριότητες, αναφέρονται πιο κάτω:</w:t>
      </w:r>
    </w:p>
    <w:p w14:paraId="2EEE2C96"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u w:val="single"/>
          <w:lang w:eastAsia="ja-JP"/>
        </w:rPr>
      </w:pPr>
    </w:p>
    <w:p w14:paraId="02313895"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r w:rsidRPr="00920E2C">
        <w:rPr>
          <w:rFonts w:ascii="The Wave Sans TT" w:eastAsia="PMingLiU" w:hAnsi="The Wave Sans TT" w:cs="Arial"/>
          <w:b/>
          <w:snapToGrid w:val="0"/>
          <w:sz w:val="20"/>
          <w:szCs w:val="20"/>
          <w:lang w:eastAsia="ja-JP"/>
        </w:rPr>
        <w:t>ΔΙΥΛΙΣΗ, ΕΦΟΔΙΑΣΜΟΣ &amp; ΕΜΠΟΡΙΑ</w:t>
      </w:r>
    </w:p>
    <w:p w14:paraId="3554678C"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Το Δ’ Τρίμηνο 2022, τα Συγκρίσιμα Κέρδη </w:t>
      </w:r>
      <w:r w:rsidRPr="00920E2C">
        <w:rPr>
          <w:rFonts w:ascii="The Wave Sans TT" w:eastAsia="PMingLiU" w:hAnsi="The Wave Sans TT" w:cs="Arial"/>
          <w:snapToGrid w:val="0"/>
          <w:sz w:val="20"/>
          <w:szCs w:val="20"/>
          <w:lang w:val="en-US" w:eastAsia="ja-JP"/>
        </w:rPr>
        <w:t>EBITDA</w:t>
      </w:r>
      <w:r w:rsidRPr="00920E2C">
        <w:rPr>
          <w:rFonts w:ascii="The Wave Sans TT" w:eastAsia="PMingLiU" w:hAnsi="The Wave Sans TT" w:cs="Arial"/>
          <w:snapToGrid w:val="0"/>
          <w:sz w:val="20"/>
          <w:szCs w:val="20"/>
          <w:lang w:eastAsia="ja-JP"/>
        </w:rPr>
        <w:t xml:space="preserve"> του κλάδου Διύλισης, Εφοδιασμού και Εμπορίας ανήλθαν στα €44</w:t>
      </w:r>
      <w:r>
        <w:rPr>
          <w:rFonts w:ascii="The Wave Sans TT" w:eastAsia="PMingLiU" w:hAnsi="The Wave Sans TT" w:cs="Arial"/>
          <w:snapToGrid w:val="0"/>
          <w:sz w:val="20"/>
          <w:szCs w:val="20"/>
          <w:lang w:eastAsia="ja-JP"/>
        </w:rPr>
        <w:t>0</w:t>
      </w:r>
      <w:r w:rsidRPr="00920E2C">
        <w:rPr>
          <w:rFonts w:ascii="The Wave Sans TT" w:eastAsia="PMingLiU" w:hAnsi="The Wave Sans TT" w:cs="Arial"/>
          <w:snapToGrid w:val="0"/>
          <w:sz w:val="20"/>
          <w:szCs w:val="20"/>
          <w:lang w:eastAsia="ja-JP"/>
        </w:rPr>
        <w:t xml:space="preserve"> εκατ., λόγω ισχυρών διεθνών περιθωρίων διύλισης, ενισχυμένου Δολαρίου και της </w:t>
      </w:r>
      <w:proofErr w:type="spellStart"/>
      <w:r w:rsidRPr="00920E2C">
        <w:rPr>
          <w:rFonts w:ascii="The Wave Sans TT" w:eastAsia="PMingLiU" w:hAnsi="The Wave Sans TT" w:cs="Arial"/>
          <w:snapToGrid w:val="0"/>
          <w:sz w:val="20"/>
          <w:szCs w:val="20"/>
          <w:lang w:eastAsia="ja-JP"/>
        </w:rPr>
        <w:t>υπεραπόδοσης</w:t>
      </w:r>
      <w:proofErr w:type="spellEnd"/>
      <w:r w:rsidRPr="00920E2C">
        <w:rPr>
          <w:rFonts w:ascii="The Wave Sans TT" w:eastAsia="PMingLiU" w:hAnsi="The Wave Sans TT" w:cs="Arial"/>
          <w:snapToGrid w:val="0"/>
          <w:sz w:val="20"/>
          <w:szCs w:val="20"/>
          <w:lang w:eastAsia="ja-JP"/>
        </w:rPr>
        <w:t xml:space="preserve"> του συστήματος διυλιστηρίων του Ομίλου, παρά την επίδραση του προγραμματισμένου κλεισίματος του διυλιστηρίου της Θεσσαλονίκης για συντήρηση.</w:t>
      </w:r>
    </w:p>
    <w:p w14:paraId="02154147"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Η παραγωγή προϊόντων για το 2022 ανήλθε στους 13 εκατ. τόνους (-10%), καθώς ολοκληρώθηκαν με επιτυχία προγράμματα εκτεταμένης συντήρησης στα 3 διυλιστήρια.</w:t>
      </w:r>
    </w:p>
    <w:p w14:paraId="0475FBFE"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lastRenderedPageBreak/>
        <w:t>Οι εκπτώσεις που εφαρμόσθηκαν στις πωλήσεις πετρελαίου θέρμανσης για τη στήριξη των καταναλωτών εν μέσω ενεργειακής κρίσης, ανήλθαν σε €24 εκατ. για το έτος.</w:t>
      </w:r>
    </w:p>
    <w:p w14:paraId="3D50DF6C" w14:textId="77777777" w:rsidR="00366699" w:rsidRPr="00920E2C" w:rsidRDefault="00366699" w:rsidP="00366699">
      <w:pPr>
        <w:spacing w:after="0" w:line="240" w:lineRule="auto"/>
        <w:rPr>
          <w:rFonts w:ascii="The Wave Sans TT" w:hAnsi="The Wave Sans TT"/>
          <w:sz w:val="20"/>
          <w:szCs w:val="20"/>
        </w:rPr>
      </w:pPr>
    </w:p>
    <w:p w14:paraId="6297F9C8"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r w:rsidRPr="00920E2C">
        <w:rPr>
          <w:rFonts w:ascii="The Wave Sans TT" w:eastAsia="PMingLiU" w:hAnsi="The Wave Sans TT" w:cs="Arial"/>
          <w:b/>
          <w:snapToGrid w:val="0"/>
          <w:sz w:val="20"/>
          <w:szCs w:val="20"/>
          <w:lang w:eastAsia="ja-JP"/>
        </w:rPr>
        <w:t>ΠΕΤΡΟΧΗΜΙΚΑ</w:t>
      </w:r>
    </w:p>
    <w:p w14:paraId="7B564A1D" w14:textId="197CB09A" w:rsidR="00366699"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Τα Συγκρίσιμα Κέρδη </w:t>
      </w:r>
      <w:r w:rsidRPr="00920E2C">
        <w:rPr>
          <w:rFonts w:ascii="The Wave Sans TT" w:eastAsia="PMingLiU" w:hAnsi="The Wave Sans TT" w:cs="Arial"/>
          <w:snapToGrid w:val="0"/>
          <w:sz w:val="20"/>
          <w:szCs w:val="20"/>
          <w:lang w:val="en-US" w:eastAsia="ja-JP"/>
        </w:rPr>
        <w:t>EBITDA</w:t>
      </w:r>
      <w:r w:rsidRPr="00920E2C">
        <w:rPr>
          <w:rFonts w:ascii="The Wave Sans TT" w:eastAsia="PMingLiU" w:hAnsi="The Wave Sans TT" w:cs="Arial"/>
          <w:snapToGrid w:val="0"/>
          <w:sz w:val="20"/>
          <w:szCs w:val="20"/>
          <w:lang w:eastAsia="ja-JP"/>
        </w:rPr>
        <w:t xml:space="preserve"> του κλάδου Πετροχημικών διαμορφώθηκαν στο Δ’ Τρίμηνο 2022 στα €16 εκατ., μειωμένα σε ετήσια βάση λόγω χαμηλών περιθωρίων πολυπροπυλενίου. Αντίστοιχη ήταν η μείωση της κερδοφορίας σε ετήσια βάση για το 2022.</w:t>
      </w:r>
    </w:p>
    <w:p w14:paraId="61B0BA19" w14:textId="27571D97" w:rsidR="00366699" w:rsidRDefault="00366699">
      <w:pPr>
        <w:spacing w:after="0" w:line="240" w:lineRule="auto"/>
        <w:rPr>
          <w:rFonts w:ascii="The Wave Sans TT" w:eastAsia="PMingLiU" w:hAnsi="The Wave Sans TT" w:cs="Arial"/>
          <w:snapToGrid w:val="0"/>
          <w:sz w:val="20"/>
          <w:szCs w:val="20"/>
          <w:lang w:eastAsia="ja-JP"/>
        </w:rPr>
      </w:pPr>
    </w:p>
    <w:p w14:paraId="45BCECD6"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r w:rsidRPr="00920E2C">
        <w:rPr>
          <w:rFonts w:ascii="The Wave Sans TT" w:eastAsia="PMingLiU" w:hAnsi="The Wave Sans TT" w:cs="Arial"/>
          <w:b/>
          <w:snapToGrid w:val="0"/>
          <w:sz w:val="20"/>
          <w:szCs w:val="20"/>
          <w:lang w:eastAsia="ja-JP"/>
        </w:rPr>
        <w:t>ΕΜΠΟΡΙΑ</w:t>
      </w:r>
    </w:p>
    <w:p w14:paraId="7BD6B00B"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Ο κλάδος της Εγχώριας Εμπορίας κατέγραψε υψηλότερο όγκο πωλήσεων στο Δ’ Τρίμηνο 2022 (+13% σε ετήσια βάση), λόγω αυξημένης ζήτησης, ενώ η κερδοφορία επηρεάστηκε από χαμηλότερη αποτίμηση αποθεμάτων και υψηλότερα μεταφορικά κόστη, καθώς και από τους κανονιστικούς περιορισμούς στο μεικτό περιθώριο. Για το σύνολο του 2022, ο όγκος πωλήσεων αυξήθηκε κατά 18% σε ετήσια βάση, ευνοημένος από την τουριστική κίνηση και την αυξημένη οικονομική δραστηριότητα, με τα Συγκρίσιμα Κέρδη </w:t>
      </w:r>
      <w:r w:rsidRPr="00920E2C">
        <w:rPr>
          <w:rFonts w:ascii="The Wave Sans TT" w:eastAsia="PMingLiU" w:hAnsi="The Wave Sans TT" w:cs="Arial"/>
          <w:snapToGrid w:val="0"/>
          <w:sz w:val="20"/>
          <w:szCs w:val="20"/>
          <w:lang w:val="en-US" w:eastAsia="ja-JP"/>
        </w:rPr>
        <w:t>EBITDA</w:t>
      </w:r>
      <w:r w:rsidRPr="00920E2C">
        <w:rPr>
          <w:rFonts w:ascii="The Wave Sans TT" w:eastAsia="PMingLiU" w:hAnsi="The Wave Sans TT" w:cs="Arial"/>
          <w:snapToGrid w:val="0"/>
          <w:sz w:val="20"/>
          <w:szCs w:val="20"/>
          <w:lang w:eastAsia="ja-JP"/>
        </w:rPr>
        <w:t xml:space="preserve"> στα €61 εκατ., αυξημένα κατά 5%.</w:t>
      </w:r>
    </w:p>
    <w:p w14:paraId="762CA22F"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Ο κλάδος της Διεθνούς Εμπορίας στο Δ’ Τρίμηνο κατέγραψε αυξημένους όγκους πωλήσεων (+7% σε ετήσια βάση), με τα Συγκρίσιμα Κέρδη </w:t>
      </w:r>
      <w:r w:rsidRPr="00920E2C">
        <w:rPr>
          <w:rFonts w:ascii="The Wave Sans TT" w:eastAsia="PMingLiU" w:hAnsi="The Wave Sans TT" w:cs="Arial"/>
          <w:snapToGrid w:val="0"/>
          <w:sz w:val="20"/>
          <w:szCs w:val="20"/>
          <w:lang w:val="en-US" w:eastAsia="ja-JP"/>
        </w:rPr>
        <w:t>EBITDA</w:t>
      </w:r>
      <w:r w:rsidRPr="00920E2C">
        <w:rPr>
          <w:rFonts w:ascii="The Wave Sans TT" w:eastAsia="PMingLiU" w:hAnsi="The Wave Sans TT" w:cs="Arial"/>
          <w:snapToGrid w:val="0"/>
          <w:sz w:val="20"/>
          <w:szCs w:val="20"/>
          <w:lang w:eastAsia="ja-JP"/>
        </w:rPr>
        <w:t xml:space="preserve"> στα €18 εκατ. και σημαντική συνεισφορά από την Κύπρο, το Μαυροβούνιο και τη Δημοκρατία της Βόρειας Μακεδονίας. Για το σύνολο του 2022, οι όγκοι πωλήσεων βελτιώθηκαν κατά 18% και η κερδοφορία κατά 11%, στα €77 εκατ.. </w:t>
      </w:r>
    </w:p>
    <w:p w14:paraId="2956DF95"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p>
    <w:p w14:paraId="04CC305F"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r w:rsidRPr="00920E2C">
        <w:rPr>
          <w:rFonts w:ascii="The Wave Sans TT" w:eastAsia="PMingLiU" w:hAnsi="The Wave Sans TT" w:cs="Arial"/>
          <w:b/>
          <w:snapToGrid w:val="0"/>
          <w:sz w:val="20"/>
          <w:szCs w:val="20"/>
          <w:lang w:eastAsia="ja-JP"/>
        </w:rPr>
        <w:t>ΑΠΕ</w:t>
      </w:r>
    </w:p>
    <w:p w14:paraId="28686CCD"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Η υψηλότερη εγκατεστημένη ισχύς ΑΠΕ (341 </w:t>
      </w:r>
      <w:r w:rsidRPr="00920E2C">
        <w:rPr>
          <w:rFonts w:ascii="The Wave Sans TT" w:eastAsia="PMingLiU" w:hAnsi="The Wave Sans TT" w:cs="Arial"/>
          <w:snapToGrid w:val="0"/>
          <w:sz w:val="20"/>
          <w:szCs w:val="20"/>
          <w:lang w:val="en-US" w:eastAsia="ja-JP"/>
        </w:rPr>
        <w:t>MW</w:t>
      </w:r>
      <w:r w:rsidRPr="00920E2C">
        <w:rPr>
          <w:rFonts w:ascii="The Wave Sans TT" w:eastAsia="PMingLiU" w:hAnsi="The Wave Sans TT" w:cs="Arial"/>
          <w:snapToGrid w:val="0"/>
          <w:sz w:val="20"/>
          <w:szCs w:val="20"/>
          <w:lang w:eastAsia="ja-JP"/>
        </w:rPr>
        <w:t xml:space="preserve">) οδήγησε σε αυξημένη παραγωγή ηλεκτρικής ενέργειας, με τα Συγκρίσιμα Κέρδη </w:t>
      </w:r>
      <w:r w:rsidRPr="00920E2C">
        <w:rPr>
          <w:rFonts w:ascii="The Wave Sans TT" w:eastAsia="PMingLiU" w:hAnsi="The Wave Sans TT" w:cs="Arial"/>
          <w:snapToGrid w:val="0"/>
          <w:sz w:val="20"/>
          <w:szCs w:val="20"/>
          <w:lang w:val="en-US" w:eastAsia="ja-JP"/>
        </w:rPr>
        <w:t>EBITDA</w:t>
      </w:r>
      <w:r w:rsidRPr="00920E2C">
        <w:rPr>
          <w:rFonts w:ascii="The Wave Sans TT" w:eastAsia="PMingLiU" w:hAnsi="The Wave Sans TT" w:cs="Arial"/>
          <w:snapToGrid w:val="0"/>
          <w:sz w:val="20"/>
          <w:szCs w:val="20"/>
          <w:lang w:eastAsia="ja-JP"/>
        </w:rPr>
        <w:t xml:space="preserve"> να ανέρχονται στα €9 εκατ. το Δ’ Τρίμηνο 2022 και στα €29 εκατ. για το σύνολο του έτους. </w:t>
      </w:r>
    </w:p>
    <w:p w14:paraId="4922C878" w14:textId="77777777" w:rsidR="00366699" w:rsidRPr="00920E2C" w:rsidRDefault="00366699" w:rsidP="00366699">
      <w:pPr>
        <w:widowControl w:val="0"/>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p>
    <w:p w14:paraId="56716ED2" w14:textId="77777777" w:rsidR="00366699" w:rsidRPr="00920E2C" w:rsidRDefault="00366699" w:rsidP="00366699">
      <w:pPr>
        <w:widowControl w:val="0"/>
        <w:adjustRightInd w:val="0"/>
        <w:snapToGrid w:val="0"/>
        <w:spacing w:after="120"/>
        <w:ind w:right="-199"/>
        <w:jc w:val="both"/>
        <w:textAlignment w:val="baseline"/>
        <w:rPr>
          <w:rFonts w:ascii="The Wave Sans TT" w:eastAsia="PMingLiU" w:hAnsi="The Wave Sans TT" w:cs="Arial"/>
          <w:b/>
          <w:snapToGrid w:val="0"/>
          <w:sz w:val="20"/>
          <w:szCs w:val="20"/>
          <w:lang w:eastAsia="ja-JP"/>
        </w:rPr>
      </w:pPr>
      <w:r w:rsidRPr="00920E2C">
        <w:rPr>
          <w:rFonts w:ascii="The Wave Sans TT" w:eastAsia="PMingLiU" w:hAnsi="The Wave Sans TT" w:cs="Arial"/>
          <w:b/>
          <w:snapToGrid w:val="0"/>
          <w:sz w:val="20"/>
          <w:szCs w:val="20"/>
          <w:lang w:eastAsia="ja-JP"/>
        </w:rPr>
        <w:t>ΣΥΜΜΕΤΟΧΕΣ</w:t>
      </w:r>
    </w:p>
    <w:p w14:paraId="58B55637"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Η συνεισφορά των εταιρειών της ΔΕΠΑ στα ενοποιημένα Καθαρά Κέρδη του Ομίλου για το σύνολο της χρήσης 2022, ανήλθε στα €58 εκατ..</w:t>
      </w:r>
    </w:p>
    <w:p w14:paraId="3FB95359" w14:textId="77777777" w:rsidR="00366699" w:rsidRPr="00920E2C" w:rsidRDefault="00366699" w:rsidP="00366699">
      <w:pPr>
        <w:widowControl w:val="0"/>
        <w:numPr>
          <w:ilvl w:val="0"/>
          <w:numId w:val="7"/>
        </w:numPr>
        <w:adjustRightInd w:val="0"/>
        <w:snapToGrid w:val="0"/>
        <w:spacing w:after="120"/>
        <w:ind w:left="360" w:right="-58"/>
        <w:jc w:val="both"/>
        <w:textAlignment w:val="baseline"/>
        <w:rPr>
          <w:rFonts w:ascii="The Wave Sans TT" w:eastAsia="PMingLiU" w:hAnsi="The Wave Sans TT" w:cs="Arial"/>
          <w:snapToGrid w:val="0"/>
          <w:sz w:val="20"/>
          <w:szCs w:val="20"/>
          <w:lang w:eastAsia="ja-JP"/>
        </w:rPr>
      </w:pPr>
      <w:r w:rsidRPr="00920E2C">
        <w:rPr>
          <w:rFonts w:ascii="The Wave Sans TT" w:eastAsia="PMingLiU" w:hAnsi="The Wave Sans TT" w:cs="Arial"/>
          <w:snapToGrid w:val="0"/>
          <w:sz w:val="20"/>
          <w:szCs w:val="20"/>
          <w:lang w:eastAsia="ja-JP"/>
        </w:rPr>
        <w:t xml:space="preserve">Το EBITDA της </w:t>
      </w:r>
      <w:proofErr w:type="spellStart"/>
      <w:r w:rsidRPr="00920E2C">
        <w:rPr>
          <w:rFonts w:ascii="The Wave Sans TT" w:eastAsia="PMingLiU" w:hAnsi="The Wave Sans TT" w:cs="Arial"/>
          <w:snapToGrid w:val="0"/>
          <w:sz w:val="20"/>
          <w:szCs w:val="20"/>
          <w:lang w:eastAsia="ja-JP"/>
        </w:rPr>
        <w:t>Elpedison</w:t>
      </w:r>
      <w:proofErr w:type="spellEnd"/>
      <w:r w:rsidRPr="00920E2C">
        <w:rPr>
          <w:rFonts w:ascii="The Wave Sans TT" w:eastAsia="PMingLiU" w:hAnsi="The Wave Sans TT" w:cs="Arial"/>
          <w:snapToGrid w:val="0"/>
          <w:sz w:val="20"/>
          <w:szCs w:val="20"/>
          <w:lang w:eastAsia="ja-JP"/>
        </w:rPr>
        <w:t xml:space="preserve"> για το Δ’ Τρίμηνο διαμορφώθηκε στα €45 εκατ. και για το σύνολο του 2022 στα €185 εκατ., αυξημένο σε σχέση με τις αντίστοιχες περιόδους του 2021, λόγω λειτουργικής ευελιξίας και εκμετάλλευσης ευκαιριών στην εμπορία φυσικού αερίου. </w:t>
      </w:r>
    </w:p>
    <w:p w14:paraId="43BF4F3B" w14:textId="77777777" w:rsidR="00366699" w:rsidRPr="00920E2C" w:rsidRDefault="00366699" w:rsidP="00366699">
      <w:pPr>
        <w:rPr>
          <w:rFonts w:ascii="The Wave Sans TT" w:eastAsia="PMingLiU" w:hAnsi="The Wave Sans TT" w:cs="Arial"/>
          <w:snapToGrid w:val="0"/>
          <w:sz w:val="20"/>
          <w:szCs w:val="20"/>
          <w:lang w:eastAsia="ja-JP"/>
        </w:rPr>
      </w:pPr>
      <w:r w:rsidRPr="00920E2C">
        <w:rPr>
          <w:rFonts w:ascii="The Wave Sans TT" w:hAnsi="The Wave Sans TT"/>
          <w:sz w:val="20"/>
          <w:szCs w:val="20"/>
        </w:rPr>
        <w:br w:type="page"/>
      </w:r>
    </w:p>
    <w:p w14:paraId="0E6C1E14" w14:textId="77777777" w:rsidR="009871E7" w:rsidRPr="00A42A32" w:rsidRDefault="009871E7" w:rsidP="00366699">
      <w:pPr>
        <w:jc w:val="center"/>
        <w:rPr>
          <w:rFonts w:ascii="The Wave Sans TT" w:hAnsi="The Wave Sans TT" w:cs="Arial"/>
          <w:b/>
          <w:bCs/>
          <w:sz w:val="20"/>
          <w:szCs w:val="20"/>
        </w:rPr>
      </w:pPr>
    </w:p>
    <w:p w14:paraId="1D4F525E" w14:textId="5416EC17" w:rsidR="00366699" w:rsidRPr="00920E2C" w:rsidRDefault="00366699" w:rsidP="00366699">
      <w:pPr>
        <w:jc w:val="center"/>
        <w:rPr>
          <w:rFonts w:ascii="The Wave Sans TT" w:eastAsia="PMingLiU" w:hAnsi="The Wave Sans TT" w:cs="Arial"/>
          <w:b/>
          <w:bCs/>
          <w:snapToGrid w:val="0"/>
          <w:sz w:val="20"/>
          <w:szCs w:val="20"/>
          <w:lang w:val="en-US" w:eastAsia="ja-JP"/>
        </w:rPr>
      </w:pPr>
      <w:r w:rsidRPr="00920E2C">
        <w:rPr>
          <w:rFonts w:ascii="The Wave Sans TT" w:hAnsi="The Wave Sans TT" w:cs="Arial"/>
          <w:b/>
          <w:bCs/>
          <w:sz w:val="20"/>
          <w:szCs w:val="20"/>
          <w:lang w:val="en-US"/>
        </w:rPr>
        <w:t>HELLENiQ ENERGY Holdings A.E.</w:t>
      </w:r>
    </w:p>
    <w:p w14:paraId="0717A204" w14:textId="77777777" w:rsidR="00366699" w:rsidRPr="00920E2C" w:rsidRDefault="00366699" w:rsidP="00366699">
      <w:pPr>
        <w:spacing w:after="0" w:line="240" w:lineRule="auto"/>
        <w:jc w:val="center"/>
        <w:rPr>
          <w:rFonts w:ascii="The Wave Sans TT" w:eastAsia="Times New Roman" w:hAnsi="The Wave Sans TT" w:cs="Arial"/>
          <w:b/>
          <w:bCs/>
          <w:sz w:val="20"/>
          <w:szCs w:val="20"/>
          <w:lang w:eastAsia="el-GR"/>
        </w:rPr>
      </w:pPr>
      <w:r w:rsidRPr="00920E2C">
        <w:rPr>
          <w:rFonts w:ascii="The Wave Sans TT" w:eastAsia="Times New Roman" w:hAnsi="The Wave Sans TT" w:cs="Arial"/>
          <w:b/>
          <w:bCs/>
          <w:sz w:val="20"/>
          <w:szCs w:val="20"/>
          <w:lang w:eastAsia="el-GR"/>
        </w:rPr>
        <w:t>Βασικά μεγέθη ενοποιημένων αποτελεσμάτων Χρήσης Δ’ Τριμήνου / Έτους 2022</w:t>
      </w:r>
    </w:p>
    <w:p w14:paraId="30AF19F8" w14:textId="77777777" w:rsidR="00366699" w:rsidRPr="00920E2C" w:rsidRDefault="00366699" w:rsidP="00366699">
      <w:pPr>
        <w:spacing w:after="0" w:line="240" w:lineRule="auto"/>
        <w:jc w:val="center"/>
        <w:rPr>
          <w:rFonts w:ascii="The Wave Sans TT" w:eastAsia="Times New Roman" w:hAnsi="The Wave Sans TT" w:cs="Arial"/>
          <w:bCs/>
          <w:sz w:val="20"/>
          <w:szCs w:val="20"/>
          <w:lang w:eastAsia="el-GR"/>
        </w:rPr>
      </w:pPr>
      <w:r w:rsidRPr="00920E2C">
        <w:rPr>
          <w:rFonts w:ascii="The Wave Sans TT" w:eastAsia="Times New Roman" w:hAnsi="The Wave Sans TT" w:cs="Arial"/>
          <w:bCs/>
          <w:sz w:val="20"/>
          <w:szCs w:val="20"/>
          <w:lang w:eastAsia="el-GR"/>
        </w:rPr>
        <w:t>(σύμφωνα με τα Διεθνή Πρότυπα Χρηματοοικονομικής Πληροφόρησης)</w:t>
      </w:r>
    </w:p>
    <w:p w14:paraId="48840082" w14:textId="77777777" w:rsidR="00366699" w:rsidRPr="00920E2C" w:rsidRDefault="00366699" w:rsidP="00366699">
      <w:pPr>
        <w:spacing w:before="120" w:after="120" w:line="360" w:lineRule="auto"/>
        <w:ind w:right="187"/>
        <w:rPr>
          <w:rFonts w:ascii="The Wave Sans TT" w:hAnsi="The Wave Sans TT" w:cs="Arial"/>
          <w:i/>
          <w:iCs/>
          <w:sz w:val="16"/>
          <w:szCs w:val="16"/>
        </w:rPr>
      </w:pPr>
    </w:p>
    <w:tbl>
      <w:tblPr>
        <w:tblW w:w="8642" w:type="dxa"/>
        <w:tblBorders>
          <w:top w:val="single" w:sz="4" w:space="0" w:color="000099"/>
          <w:left w:val="single" w:sz="4" w:space="0" w:color="000099"/>
          <w:bottom w:val="single" w:sz="4" w:space="0" w:color="000099"/>
          <w:right w:val="single" w:sz="4" w:space="0" w:color="000099"/>
          <w:insideH w:val="single" w:sz="4" w:space="0" w:color="0032A0"/>
          <w:insideV w:val="single" w:sz="4" w:space="0" w:color="0032A0"/>
        </w:tblBorders>
        <w:tblLayout w:type="fixed"/>
        <w:tblLook w:val="01E0" w:firstRow="1" w:lastRow="1" w:firstColumn="1" w:lastColumn="1" w:noHBand="0" w:noVBand="0"/>
      </w:tblPr>
      <w:tblGrid>
        <w:gridCol w:w="3415"/>
        <w:gridCol w:w="855"/>
        <w:gridCol w:w="855"/>
        <w:gridCol w:w="855"/>
        <w:gridCol w:w="855"/>
        <w:gridCol w:w="855"/>
        <w:gridCol w:w="952"/>
      </w:tblGrid>
      <w:tr w:rsidR="00366699" w:rsidRPr="00920E2C" w14:paraId="449F53A1" w14:textId="77777777" w:rsidTr="00A56B30">
        <w:trPr>
          <w:trHeight w:hRule="exact" w:val="432"/>
        </w:trPr>
        <w:tc>
          <w:tcPr>
            <w:tcW w:w="3415" w:type="dxa"/>
            <w:tcBorders>
              <w:bottom w:val="single" w:sz="4" w:space="0" w:color="0032A0"/>
            </w:tcBorders>
            <w:shd w:val="clear" w:color="auto" w:fill="0032A0"/>
            <w:vAlign w:val="center"/>
            <w:hideMark/>
          </w:tcPr>
          <w:p w14:paraId="0B1444A9"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iCs/>
                <w:sz w:val="20"/>
                <w:szCs w:val="18"/>
              </w:rPr>
              <w:t>€ εκατ.</w:t>
            </w:r>
          </w:p>
        </w:tc>
        <w:tc>
          <w:tcPr>
            <w:tcW w:w="855" w:type="dxa"/>
            <w:tcBorders>
              <w:bottom w:val="single" w:sz="4" w:space="0" w:color="0032A0"/>
            </w:tcBorders>
            <w:shd w:val="clear" w:color="auto" w:fill="0032A0"/>
            <w:vAlign w:val="center"/>
            <w:hideMark/>
          </w:tcPr>
          <w:p w14:paraId="239ABB2C" w14:textId="77777777" w:rsidR="00366699" w:rsidRPr="00920E2C" w:rsidRDefault="00366699" w:rsidP="00A56B30">
            <w:pPr>
              <w:spacing w:after="0" w:line="240" w:lineRule="auto"/>
              <w:jc w:val="right"/>
              <w:rPr>
                <w:rFonts w:ascii="The Wave Sans TT" w:hAnsi="The Wave Sans TT" w:cs="Arial"/>
                <w:b/>
                <w:bCs/>
                <w:iCs/>
                <w:sz w:val="20"/>
                <w:szCs w:val="18"/>
              </w:rPr>
            </w:pPr>
            <w:r w:rsidRPr="00920E2C">
              <w:rPr>
                <w:rFonts w:ascii="The Wave Sans TT" w:hAnsi="The Wave Sans TT" w:cs="Arial"/>
                <w:b/>
                <w:bCs/>
                <w:iCs/>
                <w:sz w:val="20"/>
                <w:lang w:val="en-GB" w:eastAsia="zh-TW"/>
              </w:rPr>
              <w:t>4Q2</w:t>
            </w:r>
            <w:r w:rsidRPr="00920E2C">
              <w:rPr>
                <w:rFonts w:ascii="The Wave Sans TT" w:hAnsi="The Wave Sans TT" w:cs="Arial"/>
                <w:b/>
                <w:bCs/>
                <w:iCs/>
                <w:sz w:val="20"/>
                <w:lang w:eastAsia="zh-TW"/>
              </w:rPr>
              <w:t>1</w:t>
            </w:r>
          </w:p>
        </w:tc>
        <w:tc>
          <w:tcPr>
            <w:tcW w:w="855" w:type="dxa"/>
            <w:tcBorders>
              <w:bottom w:val="single" w:sz="4" w:space="0" w:color="0032A0"/>
            </w:tcBorders>
            <w:shd w:val="clear" w:color="auto" w:fill="0032A0"/>
            <w:vAlign w:val="center"/>
            <w:hideMark/>
          </w:tcPr>
          <w:p w14:paraId="020B4E2C" w14:textId="77777777" w:rsidR="00366699" w:rsidRPr="00920E2C" w:rsidRDefault="00366699" w:rsidP="00A56B30">
            <w:pPr>
              <w:spacing w:after="0" w:line="240" w:lineRule="auto"/>
              <w:jc w:val="right"/>
              <w:rPr>
                <w:rFonts w:ascii="The Wave Sans TT" w:hAnsi="The Wave Sans TT" w:cs="Arial"/>
                <w:b/>
                <w:bCs/>
                <w:iCs/>
                <w:sz w:val="20"/>
                <w:szCs w:val="18"/>
                <w:lang w:val="en-US"/>
              </w:rPr>
            </w:pPr>
            <w:r w:rsidRPr="00920E2C">
              <w:rPr>
                <w:rFonts w:ascii="The Wave Sans TT" w:hAnsi="The Wave Sans TT" w:cs="Arial"/>
                <w:b/>
                <w:bCs/>
                <w:iCs/>
                <w:sz w:val="20"/>
                <w:lang w:val="en-GB" w:eastAsia="zh-TW"/>
              </w:rPr>
              <w:t>4Q2</w:t>
            </w:r>
            <w:r w:rsidRPr="00920E2C">
              <w:rPr>
                <w:rFonts w:ascii="The Wave Sans TT" w:hAnsi="The Wave Sans TT" w:cs="Arial"/>
                <w:b/>
                <w:bCs/>
                <w:iCs/>
                <w:sz w:val="20"/>
                <w:lang w:eastAsia="zh-TW"/>
              </w:rPr>
              <w:t>2</w:t>
            </w:r>
          </w:p>
        </w:tc>
        <w:tc>
          <w:tcPr>
            <w:tcW w:w="855" w:type="dxa"/>
            <w:tcBorders>
              <w:bottom w:val="single" w:sz="4" w:space="0" w:color="0032A0"/>
            </w:tcBorders>
            <w:shd w:val="clear" w:color="auto" w:fill="0032A0"/>
            <w:vAlign w:val="center"/>
            <w:hideMark/>
          </w:tcPr>
          <w:p w14:paraId="06C29088" w14:textId="77777777" w:rsidR="00366699" w:rsidRPr="00920E2C" w:rsidRDefault="00366699" w:rsidP="00A56B30">
            <w:pPr>
              <w:spacing w:after="0" w:line="240" w:lineRule="auto"/>
              <w:jc w:val="right"/>
              <w:rPr>
                <w:rFonts w:ascii="The Wave Sans TT" w:hAnsi="The Wave Sans TT" w:cs="Arial"/>
                <w:b/>
                <w:bCs/>
                <w:iCs/>
                <w:sz w:val="20"/>
                <w:szCs w:val="18"/>
                <w:lang w:val="en-GB"/>
              </w:rPr>
            </w:pPr>
            <w:r w:rsidRPr="00920E2C">
              <w:rPr>
                <w:rFonts w:ascii="The Wave Sans TT" w:hAnsi="The Wave Sans TT" w:cs="Arial"/>
                <w:b/>
                <w:bCs/>
                <w:iCs/>
                <w:sz w:val="20"/>
                <w:lang w:val="en-GB" w:eastAsia="zh-TW"/>
              </w:rPr>
              <w:t>% Δ</w:t>
            </w:r>
          </w:p>
        </w:tc>
        <w:tc>
          <w:tcPr>
            <w:tcW w:w="855" w:type="dxa"/>
            <w:tcBorders>
              <w:bottom w:val="single" w:sz="4" w:space="0" w:color="0032A0"/>
            </w:tcBorders>
            <w:shd w:val="clear" w:color="auto" w:fill="0032A0"/>
            <w:vAlign w:val="center"/>
            <w:hideMark/>
          </w:tcPr>
          <w:p w14:paraId="712F5AC4" w14:textId="77777777" w:rsidR="00366699" w:rsidRPr="00920E2C" w:rsidRDefault="00366699" w:rsidP="00A56B30">
            <w:pPr>
              <w:spacing w:after="0" w:line="240" w:lineRule="auto"/>
              <w:jc w:val="right"/>
              <w:rPr>
                <w:rFonts w:ascii="The Wave Sans TT" w:hAnsi="The Wave Sans TT" w:cs="Arial"/>
                <w:b/>
                <w:bCs/>
                <w:iCs/>
                <w:sz w:val="20"/>
                <w:szCs w:val="18"/>
              </w:rPr>
            </w:pPr>
            <w:r w:rsidRPr="00920E2C">
              <w:rPr>
                <w:rFonts w:ascii="The Wave Sans TT" w:hAnsi="The Wave Sans TT" w:cs="Arial"/>
                <w:b/>
                <w:bCs/>
                <w:iCs/>
                <w:sz w:val="20"/>
                <w:lang w:val="en-GB" w:eastAsia="zh-TW"/>
              </w:rPr>
              <w:t>FY2</w:t>
            </w:r>
            <w:r w:rsidRPr="00920E2C">
              <w:rPr>
                <w:rFonts w:ascii="The Wave Sans TT" w:hAnsi="The Wave Sans TT" w:cs="Arial"/>
                <w:b/>
                <w:bCs/>
                <w:iCs/>
                <w:sz w:val="20"/>
                <w:lang w:eastAsia="zh-TW"/>
              </w:rPr>
              <w:t>1</w:t>
            </w:r>
          </w:p>
        </w:tc>
        <w:tc>
          <w:tcPr>
            <w:tcW w:w="855" w:type="dxa"/>
            <w:tcBorders>
              <w:bottom w:val="single" w:sz="4" w:space="0" w:color="0032A0"/>
            </w:tcBorders>
            <w:shd w:val="clear" w:color="auto" w:fill="0032A0"/>
            <w:vAlign w:val="center"/>
            <w:hideMark/>
          </w:tcPr>
          <w:p w14:paraId="40BA0C3A" w14:textId="77777777" w:rsidR="00366699" w:rsidRPr="00920E2C" w:rsidRDefault="00366699" w:rsidP="00A56B30">
            <w:pPr>
              <w:spacing w:after="0" w:line="240" w:lineRule="auto"/>
              <w:jc w:val="right"/>
              <w:rPr>
                <w:rFonts w:ascii="The Wave Sans TT" w:hAnsi="The Wave Sans TT" w:cs="Arial"/>
                <w:b/>
                <w:bCs/>
                <w:iCs/>
                <w:sz w:val="20"/>
                <w:szCs w:val="18"/>
              </w:rPr>
            </w:pPr>
            <w:r w:rsidRPr="00920E2C">
              <w:rPr>
                <w:rFonts w:ascii="The Wave Sans TT" w:hAnsi="The Wave Sans TT" w:cs="Arial"/>
                <w:b/>
                <w:bCs/>
                <w:iCs/>
                <w:sz w:val="20"/>
                <w:lang w:val="en-GB" w:eastAsia="zh-TW"/>
              </w:rPr>
              <w:t>FY2</w:t>
            </w:r>
            <w:r w:rsidRPr="00920E2C">
              <w:rPr>
                <w:rFonts w:ascii="The Wave Sans TT" w:hAnsi="The Wave Sans TT" w:cs="Arial"/>
                <w:b/>
                <w:bCs/>
                <w:iCs/>
                <w:sz w:val="20"/>
                <w:lang w:eastAsia="zh-TW"/>
              </w:rPr>
              <w:t>2</w:t>
            </w:r>
          </w:p>
        </w:tc>
        <w:tc>
          <w:tcPr>
            <w:tcW w:w="952" w:type="dxa"/>
            <w:tcBorders>
              <w:bottom w:val="single" w:sz="4" w:space="0" w:color="0032A0"/>
            </w:tcBorders>
            <w:shd w:val="clear" w:color="auto" w:fill="0032A0"/>
            <w:vAlign w:val="center"/>
            <w:hideMark/>
          </w:tcPr>
          <w:p w14:paraId="3C73E184" w14:textId="77777777" w:rsidR="00366699" w:rsidRPr="00920E2C" w:rsidRDefault="00366699" w:rsidP="00A56B30">
            <w:pPr>
              <w:spacing w:after="0" w:line="240" w:lineRule="auto"/>
              <w:jc w:val="right"/>
              <w:rPr>
                <w:rFonts w:ascii="The Wave Sans TT" w:hAnsi="The Wave Sans TT" w:cs="Arial"/>
                <w:b/>
                <w:bCs/>
                <w:iCs/>
                <w:sz w:val="20"/>
                <w:szCs w:val="18"/>
                <w:lang w:val="en-GB"/>
              </w:rPr>
            </w:pPr>
            <w:r w:rsidRPr="00920E2C">
              <w:rPr>
                <w:rFonts w:ascii="The Wave Sans TT" w:hAnsi="The Wave Sans TT" w:cs="Arial"/>
                <w:b/>
                <w:bCs/>
                <w:iCs/>
                <w:sz w:val="20"/>
                <w:lang w:val="en-GB"/>
              </w:rPr>
              <w:t>% Δ</w:t>
            </w:r>
          </w:p>
        </w:tc>
      </w:tr>
      <w:tr w:rsidR="00366699" w:rsidRPr="00920E2C" w14:paraId="69C1EA37" w14:textId="77777777" w:rsidTr="00A56B30">
        <w:trPr>
          <w:trHeight w:hRule="exact" w:val="432"/>
        </w:trPr>
        <w:tc>
          <w:tcPr>
            <w:tcW w:w="3415" w:type="dxa"/>
            <w:tcBorders>
              <w:top w:val="single" w:sz="4" w:space="0" w:color="0032A0"/>
              <w:bottom w:val="nil"/>
              <w:right w:val="nil"/>
            </w:tcBorders>
            <w:shd w:val="clear" w:color="auto" w:fill="E6E6EB"/>
            <w:vAlign w:val="center"/>
            <w:hideMark/>
          </w:tcPr>
          <w:p w14:paraId="2F5816B0"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b/>
                <w:bCs/>
                <w:sz w:val="20"/>
                <w:szCs w:val="18"/>
              </w:rPr>
              <w:t>Στοιχεία αποτελεσμάτων</w:t>
            </w:r>
          </w:p>
        </w:tc>
        <w:tc>
          <w:tcPr>
            <w:tcW w:w="855" w:type="dxa"/>
            <w:tcBorders>
              <w:top w:val="single" w:sz="4" w:space="0" w:color="0032A0"/>
              <w:left w:val="nil"/>
              <w:bottom w:val="nil"/>
              <w:right w:val="nil"/>
            </w:tcBorders>
            <w:shd w:val="clear" w:color="auto" w:fill="E6E6EB"/>
            <w:vAlign w:val="center"/>
          </w:tcPr>
          <w:p w14:paraId="616B378D" w14:textId="77777777" w:rsidR="00366699" w:rsidRPr="00920E2C" w:rsidRDefault="00366699" w:rsidP="00A56B30">
            <w:pPr>
              <w:spacing w:after="0" w:line="240" w:lineRule="auto"/>
              <w:jc w:val="right"/>
              <w:rPr>
                <w:rFonts w:ascii="The Wave Sans TT" w:hAnsi="The Wave Sans TT" w:cs="Arial"/>
                <w:bCs/>
                <w:iCs/>
                <w:sz w:val="20"/>
                <w:szCs w:val="18"/>
                <w:lang w:val="en-GB"/>
              </w:rPr>
            </w:pPr>
          </w:p>
        </w:tc>
        <w:tc>
          <w:tcPr>
            <w:tcW w:w="855" w:type="dxa"/>
            <w:tcBorders>
              <w:top w:val="single" w:sz="4" w:space="0" w:color="0032A0"/>
              <w:left w:val="nil"/>
              <w:bottom w:val="nil"/>
              <w:right w:val="nil"/>
            </w:tcBorders>
            <w:shd w:val="clear" w:color="auto" w:fill="E6E6EB"/>
            <w:vAlign w:val="center"/>
          </w:tcPr>
          <w:p w14:paraId="693EFF5A" w14:textId="77777777" w:rsidR="00366699" w:rsidRPr="00920E2C" w:rsidRDefault="00366699" w:rsidP="00A56B30">
            <w:pPr>
              <w:spacing w:after="0" w:line="240" w:lineRule="auto"/>
              <w:jc w:val="right"/>
              <w:rPr>
                <w:rFonts w:ascii="The Wave Sans TT" w:hAnsi="The Wave Sans TT" w:cs="Arial"/>
                <w:bCs/>
                <w:iCs/>
                <w:sz w:val="20"/>
                <w:szCs w:val="18"/>
                <w:lang w:val="en-GB"/>
              </w:rPr>
            </w:pPr>
          </w:p>
        </w:tc>
        <w:tc>
          <w:tcPr>
            <w:tcW w:w="855" w:type="dxa"/>
            <w:tcBorders>
              <w:top w:val="single" w:sz="4" w:space="0" w:color="0032A0"/>
              <w:left w:val="nil"/>
              <w:bottom w:val="nil"/>
              <w:right w:val="nil"/>
            </w:tcBorders>
            <w:shd w:val="clear" w:color="auto" w:fill="E6E6EB"/>
            <w:vAlign w:val="center"/>
          </w:tcPr>
          <w:p w14:paraId="30D70573" w14:textId="77777777" w:rsidR="00366699" w:rsidRPr="00920E2C" w:rsidRDefault="00366699" w:rsidP="00A56B30">
            <w:pPr>
              <w:spacing w:after="0" w:line="240" w:lineRule="auto"/>
              <w:jc w:val="right"/>
              <w:rPr>
                <w:rFonts w:ascii="The Wave Sans TT" w:hAnsi="The Wave Sans TT" w:cs="Arial"/>
                <w:bCs/>
                <w:iCs/>
                <w:sz w:val="20"/>
                <w:szCs w:val="18"/>
                <w:lang w:val="en-GB"/>
              </w:rPr>
            </w:pPr>
          </w:p>
        </w:tc>
        <w:tc>
          <w:tcPr>
            <w:tcW w:w="855" w:type="dxa"/>
            <w:tcBorders>
              <w:top w:val="single" w:sz="4" w:space="0" w:color="0032A0"/>
              <w:left w:val="nil"/>
              <w:bottom w:val="nil"/>
              <w:right w:val="nil"/>
            </w:tcBorders>
            <w:shd w:val="clear" w:color="auto" w:fill="E6E6EB"/>
            <w:vAlign w:val="center"/>
          </w:tcPr>
          <w:p w14:paraId="43F8D9E1" w14:textId="77777777" w:rsidR="00366699" w:rsidRPr="00920E2C" w:rsidRDefault="00366699" w:rsidP="00A56B30">
            <w:pPr>
              <w:spacing w:after="0" w:line="240" w:lineRule="auto"/>
              <w:jc w:val="right"/>
              <w:rPr>
                <w:rFonts w:ascii="The Wave Sans TT" w:hAnsi="The Wave Sans TT" w:cs="Arial"/>
                <w:bCs/>
                <w:iCs/>
                <w:sz w:val="20"/>
                <w:szCs w:val="18"/>
                <w:lang w:val="en-GB"/>
              </w:rPr>
            </w:pPr>
          </w:p>
        </w:tc>
        <w:tc>
          <w:tcPr>
            <w:tcW w:w="855" w:type="dxa"/>
            <w:tcBorders>
              <w:top w:val="single" w:sz="4" w:space="0" w:color="0032A0"/>
              <w:left w:val="nil"/>
              <w:bottom w:val="nil"/>
              <w:right w:val="nil"/>
            </w:tcBorders>
            <w:shd w:val="clear" w:color="auto" w:fill="E6E6EB"/>
            <w:vAlign w:val="center"/>
          </w:tcPr>
          <w:p w14:paraId="3CCB630E" w14:textId="77777777" w:rsidR="00366699" w:rsidRPr="00920E2C" w:rsidRDefault="00366699" w:rsidP="00A56B30">
            <w:pPr>
              <w:spacing w:after="0" w:line="240" w:lineRule="auto"/>
              <w:jc w:val="right"/>
              <w:rPr>
                <w:rFonts w:ascii="The Wave Sans TT" w:hAnsi="The Wave Sans TT" w:cs="Arial"/>
                <w:bCs/>
                <w:iCs/>
                <w:sz w:val="20"/>
                <w:szCs w:val="18"/>
                <w:lang w:val="en-GB"/>
              </w:rPr>
            </w:pPr>
          </w:p>
        </w:tc>
        <w:tc>
          <w:tcPr>
            <w:tcW w:w="952" w:type="dxa"/>
            <w:tcBorders>
              <w:top w:val="single" w:sz="4" w:space="0" w:color="0032A0"/>
              <w:left w:val="nil"/>
              <w:bottom w:val="nil"/>
            </w:tcBorders>
            <w:shd w:val="clear" w:color="auto" w:fill="E6E6EB"/>
          </w:tcPr>
          <w:p w14:paraId="61A3F384" w14:textId="77777777" w:rsidR="00366699" w:rsidRPr="00920E2C" w:rsidRDefault="00366699" w:rsidP="00A56B30">
            <w:pPr>
              <w:spacing w:after="0" w:line="240" w:lineRule="auto"/>
              <w:rPr>
                <w:rFonts w:ascii="The Wave Sans TT" w:hAnsi="The Wave Sans TT" w:cs="Arial"/>
                <w:bCs/>
                <w:iCs/>
                <w:sz w:val="20"/>
                <w:szCs w:val="18"/>
                <w:lang w:val="en-GB"/>
              </w:rPr>
            </w:pPr>
          </w:p>
        </w:tc>
      </w:tr>
      <w:tr w:rsidR="00366699" w:rsidRPr="00920E2C" w14:paraId="61994E76" w14:textId="77777777" w:rsidTr="00A56B30">
        <w:trPr>
          <w:trHeight w:hRule="exact" w:val="432"/>
        </w:trPr>
        <w:tc>
          <w:tcPr>
            <w:tcW w:w="3415" w:type="dxa"/>
            <w:tcBorders>
              <w:top w:val="nil"/>
              <w:bottom w:val="nil"/>
              <w:right w:val="nil"/>
            </w:tcBorders>
            <w:vAlign w:val="center"/>
            <w:hideMark/>
          </w:tcPr>
          <w:p w14:paraId="4F4322F6" w14:textId="77777777" w:rsidR="00366699" w:rsidRPr="00920E2C" w:rsidRDefault="00366699" w:rsidP="00A56B30">
            <w:pPr>
              <w:spacing w:after="0" w:line="240" w:lineRule="auto"/>
              <w:rPr>
                <w:rFonts w:ascii="The Wave Sans TT" w:hAnsi="The Wave Sans TT" w:cs="Arial"/>
                <w:bCs/>
                <w:iCs/>
                <w:sz w:val="20"/>
                <w:szCs w:val="18"/>
              </w:rPr>
            </w:pPr>
            <w:r w:rsidRPr="00920E2C">
              <w:rPr>
                <w:rFonts w:ascii="The Wave Sans TT" w:hAnsi="The Wave Sans TT" w:cs="Arial"/>
                <w:sz w:val="20"/>
                <w:szCs w:val="18"/>
              </w:rPr>
              <w:t>Όγκοι πωλήσεων Διύλισης (χιλ. ΜΤ)</w:t>
            </w:r>
          </w:p>
        </w:tc>
        <w:tc>
          <w:tcPr>
            <w:tcW w:w="855" w:type="dxa"/>
            <w:tcBorders>
              <w:top w:val="nil"/>
              <w:left w:val="nil"/>
              <w:bottom w:val="nil"/>
              <w:right w:val="nil"/>
            </w:tcBorders>
            <w:vAlign w:val="center"/>
            <w:hideMark/>
          </w:tcPr>
          <w:p w14:paraId="5DA10F2F"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3.884</w:t>
            </w:r>
          </w:p>
        </w:tc>
        <w:tc>
          <w:tcPr>
            <w:tcW w:w="855" w:type="dxa"/>
            <w:tcBorders>
              <w:top w:val="nil"/>
              <w:left w:val="nil"/>
              <w:bottom w:val="nil"/>
              <w:right w:val="nil"/>
            </w:tcBorders>
            <w:vAlign w:val="center"/>
            <w:hideMark/>
          </w:tcPr>
          <w:p w14:paraId="06D0536C"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3.685</w:t>
            </w:r>
          </w:p>
        </w:tc>
        <w:tc>
          <w:tcPr>
            <w:tcW w:w="855" w:type="dxa"/>
            <w:tcBorders>
              <w:top w:val="nil"/>
              <w:left w:val="nil"/>
              <w:bottom w:val="nil"/>
              <w:right w:val="nil"/>
            </w:tcBorders>
            <w:vAlign w:val="center"/>
            <w:hideMark/>
          </w:tcPr>
          <w:p w14:paraId="011D0572"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-5</w:t>
            </w:r>
            <w:r w:rsidRPr="00920E2C">
              <w:rPr>
                <w:rFonts w:ascii="The Wave Sans TT" w:hAnsi="The Wave Sans TT" w:cs="Arial"/>
                <w:sz w:val="20"/>
              </w:rPr>
              <w:t>%</w:t>
            </w:r>
          </w:p>
        </w:tc>
        <w:tc>
          <w:tcPr>
            <w:tcW w:w="855" w:type="dxa"/>
            <w:tcBorders>
              <w:top w:val="nil"/>
              <w:left w:val="nil"/>
              <w:bottom w:val="nil"/>
              <w:right w:val="nil"/>
            </w:tcBorders>
            <w:vAlign w:val="center"/>
            <w:hideMark/>
          </w:tcPr>
          <w:p w14:paraId="51668429"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15.184</w:t>
            </w:r>
          </w:p>
        </w:tc>
        <w:tc>
          <w:tcPr>
            <w:tcW w:w="855" w:type="dxa"/>
            <w:tcBorders>
              <w:top w:val="nil"/>
              <w:left w:val="nil"/>
              <w:bottom w:val="nil"/>
              <w:right w:val="nil"/>
            </w:tcBorders>
            <w:vAlign w:val="center"/>
            <w:hideMark/>
          </w:tcPr>
          <w:p w14:paraId="64E8F701"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14.284</w:t>
            </w:r>
          </w:p>
        </w:tc>
        <w:tc>
          <w:tcPr>
            <w:tcW w:w="952" w:type="dxa"/>
            <w:tcBorders>
              <w:top w:val="nil"/>
              <w:left w:val="nil"/>
              <w:bottom w:val="nil"/>
            </w:tcBorders>
            <w:vAlign w:val="center"/>
            <w:hideMark/>
          </w:tcPr>
          <w:p w14:paraId="5858CC0F" w14:textId="77777777" w:rsidR="00366699" w:rsidRPr="00920E2C" w:rsidRDefault="00366699" w:rsidP="00A56B30">
            <w:pPr>
              <w:spacing w:after="0" w:line="240" w:lineRule="auto"/>
              <w:jc w:val="right"/>
              <w:rPr>
                <w:rFonts w:ascii="The Wave Sans TT" w:hAnsi="The Wave Sans TT" w:cs="Arial"/>
                <w:bCs/>
                <w:iCs/>
                <w:sz w:val="20"/>
                <w:szCs w:val="18"/>
              </w:rPr>
            </w:pPr>
            <w:r w:rsidRPr="00920E2C">
              <w:rPr>
                <w:rFonts w:ascii="The Wave Sans TT" w:hAnsi="The Wave Sans TT" w:cs="Arial"/>
                <w:bCs/>
                <w:iCs/>
                <w:sz w:val="20"/>
                <w:lang w:val="en-US"/>
              </w:rPr>
              <w:t>-6</w:t>
            </w:r>
            <w:r w:rsidRPr="00920E2C">
              <w:rPr>
                <w:rFonts w:ascii="The Wave Sans TT" w:hAnsi="The Wave Sans TT" w:cs="Arial"/>
                <w:bCs/>
                <w:iCs/>
                <w:sz w:val="20"/>
              </w:rPr>
              <w:t>%</w:t>
            </w:r>
          </w:p>
        </w:tc>
      </w:tr>
      <w:tr w:rsidR="00366699" w:rsidRPr="00920E2C" w14:paraId="0B03540A" w14:textId="77777777" w:rsidTr="00A56B30">
        <w:trPr>
          <w:trHeight w:hRule="exact" w:val="432"/>
        </w:trPr>
        <w:tc>
          <w:tcPr>
            <w:tcW w:w="3415" w:type="dxa"/>
            <w:tcBorders>
              <w:top w:val="nil"/>
              <w:bottom w:val="nil"/>
              <w:right w:val="nil"/>
            </w:tcBorders>
            <w:vAlign w:val="center"/>
            <w:hideMark/>
          </w:tcPr>
          <w:p w14:paraId="5163FE1A" w14:textId="77777777" w:rsidR="00366699" w:rsidRPr="00920E2C" w:rsidRDefault="00366699" w:rsidP="00A56B30">
            <w:pPr>
              <w:spacing w:after="0" w:line="240" w:lineRule="auto"/>
              <w:rPr>
                <w:rFonts w:ascii="The Wave Sans TT" w:hAnsi="The Wave Sans TT" w:cs="Arial"/>
                <w:bCs/>
                <w:iCs/>
                <w:sz w:val="20"/>
                <w:szCs w:val="18"/>
              </w:rPr>
            </w:pPr>
            <w:r w:rsidRPr="00920E2C">
              <w:rPr>
                <w:rFonts w:ascii="The Wave Sans TT" w:hAnsi="The Wave Sans TT" w:cs="Arial"/>
                <w:sz w:val="20"/>
                <w:szCs w:val="18"/>
              </w:rPr>
              <w:t>Πωλήσεις</w:t>
            </w:r>
            <w:r w:rsidRPr="00920E2C">
              <w:rPr>
                <w:rFonts w:ascii="The Wave Sans TT" w:hAnsi="The Wave Sans TT" w:cs="Arial"/>
                <w:sz w:val="20"/>
                <w:szCs w:val="18"/>
                <w:lang w:val="en-US"/>
              </w:rPr>
              <w:t xml:space="preserve"> </w:t>
            </w:r>
          </w:p>
        </w:tc>
        <w:tc>
          <w:tcPr>
            <w:tcW w:w="855" w:type="dxa"/>
            <w:tcBorders>
              <w:top w:val="nil"/>
              <w:left w:val="nil"/>
              <w:bottom w:val="nil"/>
              <w:right w:val="nil"/>
            </w:tcBorders>
            <w:vAlign w:val="center"/>
            <w:hideMark/>
          </w:tcPr>
          <w:p w14:paraId="0418013E"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2.823</w:t>
            </w:r>
          </w:p>
        </w:tc>
        <w:tc>
          <w:tcPr>
            <w:tcW w:w="855" w:type="dxa"/>
            <w:tcBorders>
              <w:top w:val="nil"/>
              <w:left w:val="nil"/>
              <w:bottom w:val="nil"/>
              <w:right w:val="nil"/>
            </w:tcBorders>
            <w:vAlign w:val="center"/>
            <w:hideMark/>
          </w:tcPr>
          <w:p w14:paraId="27F45A2D"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3.542</w:t>
            </w:r>
          </w:p>
        </w:tc>
        <w:tc>
          <w:tcPr>
            <w:tcW w:w="855" w:type="dxa"/>
            <w:tcBorders>
              <w:top w:val="nil"/>
              <w:left w:val="nil"/>
              <w:bottom w:val="nil"/>
              <w:right w:val="nil"/>
            </w:tcBorders>
            <w:vAlign w:val="center"/>
            <w:hideMark/>
          </w:tcPr>
          <w:p w14:paraId="64344218"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25%</w:t>
            </w:r>
          </w:p>
        </w:tc>
        <w:tc>
          <w:tcPr>
            <w:tcW w:w="855" w:type="dxa"/>
            <w:tcBorders>
              <w:top w:val="nil"/>
              <w:left w:val="nil"/>
              <w:bottom w:val="nil"/>
              <w:right w:val="nil"/>
            </w:tcBorders>
            <w:vAlign w:val="center"/>
            <w:hideMark/>
          </w:tcPr>
          <w:p w14:paraId="43D87314"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9.222</w:t>
            </w:r>
          </w:p>
        </w:tc>
        <w:tc>
          <w:tcPr>
            <w:tcW w:w="855" w:type="dxa"/>
            <w:tcBorders>
              <w:top w:val="nil"/>
              <w:left w:val="nil"/>
              <w:bottom w:val="nil"/>
              <w:right w:val="nil"/>
            </w:tcBorders>
            <w:vAlign w:val="center"/>
            <w:hideMark/>
          </w:tcPr>
          <w:p w14:paraId="61C3905E"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14.508</w:t>
            </w:r>
          </w:p>
        </w:tc>
        <w:tc>
          <w:tcPr>
            <w:tcW w:w="952" w:type="dxa"/>
            <w:tcBorders>
              <w:top w:val="nil"/>
              <w:left w:val="nil"/>
              <w:bottom w:val="nil"/>
            </w:tcBorders>
            <w:vAlign w:val="center"/>
            <w:hideMark/>
          </w:tcPr>
          <w:p w14:paraId="268658A4" w14:textId="77777777" w:rsidR="00366699" w:rsidRPr="00920E2C" w:rsidRDefault="00366699" w:rsidP="00A56B30">
            <w:pPr>
              <w:spacing w:after="0" w:line="240" w:lineRule="auto"/>
              <w:jc w:val="right"/>
              <w:rPr>
                <w:rFonts w:ascii="The Wave Sans TT" w:hAnsi="The Wave Sans TT" w:cs="Arial"/>
                <w:bCs/>
                <w:iCs/>
                <w:sz w:val="20"/>
                <w:szCs w:val="18"/>
              </w:rPr>
            </w:pPr>
            <w:r w:rsidRPr="00920E2C">
              <w:rPr>
                <w:rFonts w:ascii="The Wave Sans TT" w:hAnsi="The Wave Sans TT" w:cs="Arial"/>
                <w:bCs/>
                <w:iCs/>
                <w:sz w:val="20"/>
                <w:lang w:val="en-US"/>
              </w:rPr>
              <w:t>57%</w:t>
            </w:r>
          </w:p>
        </w:tc>
      </w:tr>
      <w:tr w:rsidR="00366699" w:rsidRPr="00920E2C" w14:paraId="5BC2939F" w14:textId="77777777" w:rsidTr="00A56B30">
        <w:trPr>
          <w:trHeight w:hRule="exact" w:val="432"/>
        </w:trPr>
        <w:tc>
          <w:tcPr>
            <w:tcW w:w="3415" w:type="dxa"/>
            <w:tcBorders>
              <w:top w:val="nil"/>
              <w:bottom w:val="nil"/>
              <w:right w:val="nil"/>
            </w:tcBorders>
            <w:vAlign w:val="center"/>
            <w:hideMark/>
          </w:tcPr>
          <w:p w14:paraId="19BBA98D"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sz w:val="20"/>
                <w:szCs w:val="18"/>
              </w:rPr>
              <w:t>EBITDA</w:t>
            </w:r>
          </w:p>
        </w:tc>
        <w:tc>
          <w:tcPr>
            <w:tcW w:w="855" w:type="dxa"/>
            <w:tcBorders>
              <w:top w:val="nil"/>
              <w:left w:val="nil"/>
              <w:bottom w:val="nil"/>
              <w:right w:val="nil"/>
            </w:tcBorders>
            <w:vAlign w:val="center"/>
            <w:hideMark/>
          </w:tcPr>
          <w:p w14:paraId="4F643640" w14:textId="77777777" w:rsidR="00366699" w:rsidRPr="00920E2C" w:rsidRDefault="00366699" w:rsidP="00A56B30">
            <w:pPr>
              <w:widowControl w:val="0"/>
              <w:adjustRightInd w:val="0"/>
              <w:spacing w:after="0" w:line="240" w:lineRule="auto"/>
              <w:jc w:val="right"/>
              <w:textAlignment w:val="baseline"/>
              <w:rPr>
                <w:rFonts w:ascii="The Wave Sans TT" w:eastAsia="PMingLiU" w:hAnsi="The Wave Sans TT" w:cs="Arial"/>
                <w:sz w:val="20"/>
                <w:szCs w:val="18"/>
                <w:lang w:val="en-AU"/>
              </w:rPr>
            </w:pPr>
            <w:r w:rsidRPr="00920E2C">
              <w:rPr>
                <w:rFonts w:ascii="The Wave Sans TT" w:hAnsi="The Wave Sans TT" w:cs="Arial"/>
                <w:sz w:val="20"/>
                <w:lang w:val="en-US"/>
              </w:rPr>
              <w:t>126</w:t>
            </w:r>
          </w:p>
        </w:tc>
        <w:tc>
          <w:tcPr>
            <w:tcW w:w="855" w:type="dxa"/>
            <w:tcBorders>
              <w:top w:val="nil"/>
              <w:left w:val="nil"/>
              <w:bottom w:val="nil"/>
              <w:right w:val="nil"/>
            </w:tcBorders>
            <w:vAlign w:val="center"/>
            <w:hideMark/>
          </w:tcPr>
          <w:p w14:paraId="52821FA6"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14</w:t>
            </w:r>
            <w:r w:rsidRPr="00920E2C">
              <w:rPr>
                <w:rFonts w:ascii="The Wave Sans TT" w:hAnsi="The Wave Sans TT" w:cs="Arial"/>
                <w:sz w:val="20"/>
              </w:rPr>
              <w:t>9</w:t>
            </w:r>
          </w:p>
        </w:tc>
        <w:tc>
          <w:tcPr>
            <w:tcW w:w="855" w:type="dxa"/>
            <w:tcBorders>
              <w:top w:val="nil"/>
              <w:left w:val="nil"/>
              <w:bottom w:val="nil"/>
              <w:right w:val="nil"/>
            </w:tcBorders>
            <w:vAlign w:val="center"/>
            <w:hideMark/>
          </w:tcPr>
          <w:p w14:paraId="6504FA72" w14:textId="77777777" w:rsidR="00366699" w:rsidRPr="00920E2C" w:rsidRDefault="00366699" w:rsidP="00A56B30">
            <w:pPr>
              <w:widowControl w:val="0"/>
              <w:adjustRightInd w:val="0"/>
              <w:spacing w:after="0" w:line="240" w:lineRule="auto"/>
              <w:jc w:val="right"/>
              <w:textAlignment w:val="baseline"/>
              <w:rPr>
                <w:rFonts w:ascii="The Wave Sans TT" w:hAnsi="The Wave Sans TT" w:cs="Arial"/>
                <w:sz w:val="20"/>
                <w:szCs w:val="18"/>
              </w:rPr>
            </w:pPr>
            <w:r w:rsidRPr="00920E2C">
              <w:rPr>
                <w:rFonts w:ascii="The Wave Sans TT" w:hAnsi="The Wave Sans TT" w:cs="Arial"/>
                <w:sz w:val="20"/>
                <w:lang w:val="en-US"/>
              </w:rPr>
              <w:t>1</w:t>
            </w:r>
            <w:r w:rsidRPr="00920E2C">
              <w:rPr>
                <w:rFonts w:ascii="The Wave Sans TT" w:hAnsi="The Wave Sans TT" w:cs="Arial"/>
                <w:sz w:val="20"/>
              </w:rPr>
              <w:t>8</w:t>
            </w:r>
            <w:r w:rsidRPr="00920E2C">
              <w:rPr>
                <w:rFonts w:ascii="The Wave Sans TT" w:hAnsi="The Wave Sans TT" w:cs="Arial"/>
                <w:sz w:val="20"/>
                <w:lang w:val="en-US"/>
              </w:rPr>
              <w:t>%</w:t>
            </w:r>
          </w:p>
        </w:tc>
        <w:tc>
          <w:tcPr>
            <w:tcW w:w="855" w:type="dxa"/>
            <w:tcBorders>
              <w:top w:val="nil"/>
              <w:left w:val="nil"/>
              <w:bottom w:val="nil"/>
              <w:right w:val="nil"/>
            </w:tcBorders>
            <w:vAlign w:val="center"/>
            <w:hideMark/>
          </w:tcPr>
          <w:p w14:paraId="0B08CAC6"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657</w:t>
            </w:r>
          </w:p>
        </w:tc>
        <w:tc>
          <w:tcPr>
            <w:tcW w:w="855" w:type="dxa"/>
            <w:tcBorders>
              <w:top w:val="nil"/>
              <w:left w:val="nil"/>
              <w:bottom w:val="nil"/>
              <w:right w:val="nil"/>
            </w:tcBorders>
            <w:vAlign w:val="center"/>
            <w:hideMark/>
          </w:tcPr>
          <w:p w14:paraId="6B57BBDC"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1</w:t>
            </w:r>
            <w:r w:rsidRPr="00920E2C">
              <w:rPr>
                <w:rFonts w:ascii="The Wave Sans TT" w:hAnsi="The Wave Sans TT" w:cs="Arial"/>
                <w:sz w:val="20"/>
              </w:rPr>
              <w:t>.</w:t>
            </w:r>
            <w:r w:rsidRPr="00920E2C">
              <w:rPr>
                <w:rFonts w:ascii="The Wave Sans TT" w:hAnsi="The Wave Sans TT" w:cs="Arial"/>
                <w:sz w:val="20"/>
                <w:lang w:val="en-US"/>
              </w:rPr>
              <w:t>7</w:t>
            </w:r>
            <w:r w:rsidRPr="00920E2C">
              <w:rPr>
                <w:rFonts w:ascii="The Wave Sans TT" w:hAnsi="The Wave Sans TT" w:cs="Arial"/>
                <w:sz w:val="20"/>
              </w:rPr>
              <w:t>17</w:t>
            </w:r>
          </w:p>
        </w:tc>
        <w:tc>
          <w:tcPr>
            <w:tcW w:w="952" w:type="dxa"/>
            <w:tcBorders>
              <w:top w:val="nil"/>
              <w:left w:val="nil"/>
              <w:bottom w:val="nil"/>
            </w:tcBorders>
            <w:vAlign w:val="center"/>
            <w:hideMark/>
          </w:tcPr>
          <w:p w14:paraId="1FCECE07" w14:textId="77777777" w:rsidR="00366699" w:rsidRPr="00920E2C" w:rsidRDefault="00366699" w:rsidP="00A56B30">
            <w:pPr>
              <w:spacing w:after="0" w:line="240" w:lineRule="auto"/>
              <w:jc w:val="right"/>
              <w:rPr>
                <w:rFonts w:ascii="The Wave Sans TT" w:hAnsi="The Wave Sans TT" w:cs="Arial"/>
                <w:bCs/>
                <w:iCs/>
                <w:sz w:val="20"/>
                <w:szCs w:val="18"/>
                <w:lang w:val="en-US"/>
              </w:rPr>
            </w:pPr>
            <w:r w:rsidRPr="00920E2C">
              <w:rPr>
                <w:rFonts w:ascii="The Wave Sans TT" w:hAnsi="The Wave Sans TT" w:cs="Arial"/>
                <w:bCs/>
                <w:iCs/>
                <w:sz w:val="20"/>
                <w:lang w:val="en-US"/>
              </w:rPr>
              <w:t>-</w:t>
            </w:r>
          </w:p>
        </w:tc>
      </w:tr>
      <w:tr w:rsidR="00366699" w:rsidRPr="00920E2C" w14:paraId="091F9C0B" w14:textId="77777777" w:rsidTr="00A56B30">
        <w:trPr>
          <w:trHeight w:hRule="exact" w:val="432"/>
        </w:trPr>
        <w:tc>
          <w:tcPr>
            <w:tcW w:w="3415" w:type="dxa"/>
            <w:tcBorders>
              <w:top w:val="nil"/>
              <w:bottom w:val="nil"/>
              <w:right w:val="nil"/>
            </w:tcBorders>
            <w:vAlign w:val="center"/>
            <w:hideMark/>
          </w:tcPr>
          <w:p w14:paraId="52A613A0" w14:textId="77777777" w:rsidR="00366699" w:rsidRPr="00920E2C" w:rsidRDefault="00366699" w:rsidP="00A56B30">
            <w:pPr>
              <w:spacing w:after="0" w:line="240" w:lineRule="auto"/>
              <w:rPr>
                <w:rFonts w:ascii="The Wave Sans TT" w:hAnsi="The Wave Sans TT" w:cs="Arial"/>
                <w:b/>
                <w:bCs/>
                <w:iCs/>
                <w:sz w:val="20"/>
                <w:szCs w:val="18"/>
                <w:lang w:val="en-GB"/>
              </w:rPr>
            </w:pPr>
            <w:r w:rsidRPr="00920E2C">
              <w:rPr>
                <w:rFonts w:ascii="The Wave Sans TT" w:hAnsi="The Wave Sans TT" w:cs="Arial"/>
                <w:b/>
                <w:sz w:val="20"/>
                <w:szCs w:val="18"/>
              </w:rPr>
              <w:t xml:space="preserve">Συγκρίσιμα EBITDA </w:t>
            </w:r>
            <w:r w:rsidRPr="00920E2C">
              <w:rPr>
                <w:rFonts w:ascii="The Wave Sans TT" w:hAnsi="The Wave Sans TT" w:cs="Arial"/>
                <w:b/>
                <w:sz w:val="20"/>
                <w:szCs w:val="18"/>
                <w:vertAlign w:val="superscript"/>
              </w:rPr>
              <w:t>1</w:t>
            </w:r>
          </w:p>
        </w:tc>
        <w:tc>
          <w:tcPr>
            <w:tcW w:w="855" w:type="dxa"/>
            <w:tcBorders>
              <w:top w:val="nil"/>
              <w:left w:val="nil"/>
              <w:bottom w:val="nil"/>
              <w:right w:val="nil"/>
            </w:tcBorders>
            <w:vAlign w:val="center"/>
            <w:hideMark/>
          </w:tcPr>
          <w:p w14:paraId="484BCB4C" w14:textId="77777777" w:rsidR="00366699" w:rsidRPr="00920E2C" w:rsidRDefault="00366699" w:rsidP="00A56B30">
            <w:pPr>
              <w:widowControl w:val="0"/>
              <w:adjustRightInd w:val="0"/>
              <w:spacing w:after="0" w:line="240" w:lineRule="auto"/>
              <w:jc w:val="right"/>
              <w:textAlignment w:val="baseline"/>
              <w:rPr>
                <w:rFonts w:ascii="The Wave Sans TT" w:eastAsia="PMingLiU" w:hAnsi="The Wave Sans TT" w:cs="Arial"/>
                <w:b/>
                <w:sz w:val="20"/>
                <w:szCs w:val="18"/>
              </w:rPr>
            </w:pPr>
            <w:r w:rsidRPr="00920E2C">
              <w:rPr>
                <w:rFonts w:ascii="The Wave Sans TT" w:hAnsi="The Wave Sans TT" w:cs="Arial"/>
                <w:b/>
                <w:sz w:val="20"/>
                <w:lang w:val="en-US"/>
              </w:rPr>
              <w:t>138</w:t>
            </w:r>
          </w:p>
        </w:tc>
        <w:tc>
          <w:tcPr>
            <w:tcW w:w="855" w:type="dxa"/>
            <w:tcBorders>
              <w:top w:val="nil"/>
              <w:left w:val="nil"/>
              <w:bottom w:val="nil"/>
              <w:right w:val="nil"/>
            </w:tcBorders>
            <w:vAlign w:val="center"/>
            <w:hideMark/>
          </w:tcPr>
          <w:p w14:paraId="1EC30B36" w14:textId="77777777" w:rsidR="00366699" w:rsidRPr="00920E2C" w:rsidRDefault="00366699" w:rsidP="00A56B30">
            <w:pPr>
              <w:spacing w:after="0" w:line="240" w:lineRule="auto"/>
              <w:jc w:val="right"/>
              <w:rPr>
                <w:rFonts w:ascii="The Wave Sans TT" w:hAnsi="The Wave Sans TT" w:cs="Arial"/>
                <w:b/>
                <w:sz w:val="20"/>
                <w:szCs w:val="18"/>
              </w:rPr>
            </w:pPr>
            <w:r w:rsidRPr="00920E2C">
              <w:rPr>
                <w:rFonts w:ascii="The Wave Sans TT" w:hAnsi="The Wave Sans TT" w:cs="Arial"/>
                <w:b/>
                <w:sz w:val="20"/>
                <w:lang w:val="en-US"/>
              </w:rPr>
              <w:t>46</w:t>
            </w:r>
            <w:r>
              <w:rPr>
                <w:rFonts w:ascii="The Wave Sans TT" w:hAnsi="The Wave Sans TT" w:cs="Arial"/>
                <w:b/>
                <w:sz w:val="20"/>
                <w:lang w:val="en-US"/>
              </w:rPr>
              <w:t>5</w:t>
            </w:r>
          </w:p>
        </w:tc>
        <w:tc>
          <w:tcPr>
            <w:tcW w:w="855" w:type="dxa"/>
            <w:tcBorders>
              <w:top w:val="nil"/>
              <w:left w:val="nil"/>
              <w:bottom w:val="nil"/>
              <w:right w:val="nil"/>
            </w:tcBorders>
            <w:vAlign w:val="center"/>
            <w:hideMark/>
          </w:tcPr>
          <w:p w14:paraId="3B91DFF9" w14:textId="77777777" w:rsidR="00366699" w:rsidRPr="00920E2C" w:rsidRDefault="00366699" w:rsidP="00A56B30">
            <w:pPr>
              <w:widowControl w:val="0"/>
              <w:adjustRightInd w:val="0"/>
              <w:spacing w:after="0" w:line="240" w:lineRule="auto"/>
              <w:jc w:val="right"/>
              <w:textAlignment w:val="baseline"/>
              <w:rPr>
                <w:rFonts w:ascii="The Wave Sans TT" w:hAnsi="The Wave Sans TT" w:cs="Arial"/>
                <w:b/>
                <w:sz w:val="20"/>
                <w:szCs w:val="18"/>
              </w:rPr>
            </w:pPr>
            <w:r w:rsidRPr="00920E2C">
              <w:rPr>
                <w:rFonts w:ascii="The Wave Sans TT" w:hAnsi="The Wave Sans TT" w:cs="Arial"/>
                <w:b/>
                <w:sz w:val="20"/>
                <w:lang w:val="en-US"/>
              </w:rPr>
              <w:t>-</w:t>
            </w:r>
          </w:p>
        </w:tc>
        <w:tc>
          <w:tcPr>
            <w:tcW w:w="855" w:type="dxa"/>
            <w:tcBorders>
              <w:top w:val="nil"/>
              <w:left w:val="nil"/>
              <w:bottom w:val="nil"/>
              <w:right w:val="nil"/>
            </w:tcBorders>
            <w:vAlign w:val="center"/>
            <w:hideMark/>
          </w:tcPr>
          <w:p w14:paraId="664A26A0" w14:textId="77777777" w:rsidR="00366699" w:rsidRPr="00920E2C" w:rsidRDefault="00366699" w:rsidP="00A56B30">
            <w:pPr>
              <w:spacing w:after="0" w:line="240" w:lineRule="auto"/>
              <w:jc w:val="right"/>
              <w:rPr>
                <w:rFonts w:ascii="The Wave Sans TT" w:hAnsi="The Wave Sans TT" w:cs="Arial"/>
                <w:b/>
                <w:bCs/>
                <w:iCs/>
                <w:sz w:val="20"/>
                <w:szCs w:val="18"/>
                <w:lang w:val="en-US"/>
              </w:rPr>
            </w:pPr>
            <w:r w:rsidRPr="00920E2C">
              <w:rPr>
                <w:rFonts w:ascii="The Wave Sans TT" w:hAnsi="The Wave Sans TT" w:cs="Arial"/>
                <w:b/>
                <w:bCs/>
                <w:iCs/>
                <w:sz w:val="20"/>
                <w:lang w:val="en-US"/>
              </w:rPr>
              <w:t>401</w:t>
            </w:r>
          </w:p>
        </w:tc>
        <w:tc>
          <w:tcPr>
            <w:tcW w:w="855" w:type="dxa"/>
            <w:tcBorders>
              <w:top w:val="nil"/>
              <w:left w:val="nil"/>
              <w:bottom w:val="nil"/>
              <w:right w:val="nil"/>
            </w:tcBorders>
            <w:vAlign w:val="center"/>
            <w:hideMark/>
          </w:tcPr>
          <w:p w14:paraId="45B8B9CB" w14:textId="77777777" w:rsidR="00366699" w:rsidRPr="00920E2C" w:rsidRDefault="00366699" w:rsidP="00A56B30">
            <w:pPr>
              <w:spacing w:after="0" w:line="240" w:lineRule="auto"/>
              <w:jc w:val="right"/>
              <w:rPr>
                <w:rFonts w:ascii="The Wave Sans TT" w:hAnsi="The Wave Sans TT" w:cs="Arial"/>
                <w:b/>
                <w:bCs/>
                <w:iCs/>
                <w:sz w:val="20"/>
                <w:szCs w:val="18"/>
                <w:lang w:val="en-US"/>
              </w:rPr>
            </w:pPr>
            <w:r w:rsidRPr="00920E2C">
              <w:rPr>
                <w:rFonts w:ascii="The Wave Sans TT" w:hAnsi="The Wave Sans TT" w:cs="Arial"/>
                <w:b/>
                <w:bCs/>
                <w:iCs/>
                <w:sz w:val="20"/>
                <w:lang w:val="en-US"/>
              </w:rPr>
              <w:t>1.601</w:t>
            </w:r>
          </w:p>
        </w:tc>
        <w:tc>
          <w:tcPr>
            <w:tcW w:w="952" w:type="dxa"/>
            <w:tcBorders>
              <w:top w:val="nil"/>
              <w:left w:val="nil"/>
              <w:bottom w:val="nil"/>
            </w:tcBorders>
            <w:vAlign w:val="center"/>
            <w:hideMark/>
          </w:tcPr>
          <w:p w14:paraId="5ABC6946" w14:textId="77777777" w:rsidR="00366699" w:rsidRPr="00920E2C" w:rsidRDefault="00366699" w:rsidP="00A56B30">
            <w:pPr>
              <w:spacing w:after="0" w:line="240" w:lineRule="auto"/>
              <w:jc w:val="right"/>
              <w:rPr>
                <w:rFonts w:ascii="The Wave Sans TT" w:hAnsi="The Wave Sans TT" w:cs="Arial"/>
                <w:b/>
                <w:bCs/>
                <w:iCs/>
                <w:sz w:val="20"/>
                <w:szCs w:val="18"/>
              </w:rPr>
            </w:pPr>
            <w:r w:rsidRPr="00920E2C">
              <w:rPr>
                <w:rFonts w:ascii="The Wave Sans TT" w:hAnsi="The Wave Sans TT" w:cs="Arial"/>
                <w:b/>
                <w:bCs/>
                <w:iCs/>
                <w:sz w:val="20"/>
                <w:lang w:val="en-US"/>
              </w:rPr>
              <w:t>-</w:t>
            </w:r>
          </w:p>
        </w:tc>
      </w:tr>
      <w:tr w:rsidR="00366699" w:rsidRPr="00920E2C" w14:paraId="248BBE1A" w14:textId="77777777" w:rsidTr="00A56B30">
        <w:trPr>
          <w:trHeight w:hRule="exact" w:val="432"/>
        </w:trPr>
        <w:tc>
          <w:tcPr>
            <w:tcW w:w="3415" w:type="dxa"/>
            <w:tcBorders>
              <w:top w:val="nil"/>
              <w:bottom w:val="nil"/>
              <w:right w:val="nil"/>
            </w:tcBorders>
            <w:vAlign w:val="center"/>
          </w:tcPr>
          <w:p w14:paraId="1CB1FDE8" w14:textId="77777777" w:rsidR="00366699" w:rsidRPr="00920E2C" w:rsidRDefault="00366699" w:rsidP="00A56B30">
            <w:pPr>
              <w:spacing w:after="0" w:line="240" w:lineRule="auto"/>
              <w:rPr>
                <w:rFonts w:ascii="The Wave Sans TT" w:hAnsi="The Wave Sans TT" w:cs="Arial"/>
                <w:sz w:val="20"/>
                <w:szCs w:val="18"/>
                <w:lang w:val="en-US"/>
              </w:rPr>
            </w:pPr>
            <w:r w:rsidRPr="00920E2C">
              <w:rPr>
                <w:rFonts w:ascii="The Wave Sans TT" w:hAnsi="The Wave Sans TT" w:cs="Arial"/>
                <w:sz w:val="20"/>
                <w:szCs w:val="18"/>
              </w:rPr>
              <w:t>Λειτουργικό Αποτέλεσμα</w:t>
            </w:r>
          </w:p>
        </w:tc>
        <w:tc>
          <w:tcPr>
            <w:tcW w:w="855" w:type="dxa"/>
            <w:tcBorders>
              <w:top w:val="nil"/>
              <w:left w:val="nil"/>
              <w:bottom w:val="nil"/>
              <w:right w:val="nil"/>
            </w:tcBorders>
            <w:vAlign w:val="center"/>
          </w:tcPr>
          <w:p w14:paraId="736671B0" w14:textId="77777777" w:rsidR="00366699" w:rsidRPr="00920E2C" w:rsidRDefault="00366699" w:rsidP="00A56B30">
            <w:pPr>
              <w:widowControl w:val="0"/>
              <w:adjustRightInd w:val="0"/>
              <w:spacing w:after="0" w:line="240" w:lineRule="auto"/>
              <w:jc w:val="right"/>
              <w:textAlignment w:val="baseline"/>
              <w:rPr>
                <w:rFonts w:ascii="The Wave Sans TT" w:hAnsi="The Wave Sans TT" w:cs="Arial"/>
                <w:sz w:val="20"/>
                <w:lang w:val="en-US"/>
              </w:rPr>
            </w:pPr>
            <w:r w:rsidRPr="00920E2C">
              <w:rPr>
                <w:rFonts w:ascii="The Wave Sans TT" w:hAnsi="The Wave Sans TT" w:cs="Arial"/>
                <w:sz w:val="20"/>
                <w:lang w:val="en-US"/>
              </w:rPr>
              <w:t>59</w:t>
            </w:r>
          </w:p>
        </w:tc>
        <w:tc>
          <w:tcPr>
            <w:tcW w:w="855" w:type="dxa"/>
            <w:tcBorders>
              <w:top w:val="nil"/>
              <w:left w:val="nil"/>
              <w:bottom w:val="nil"/>
              <w:right w:val="nil"/>
            </w:tcBorders>
            <w:vAlign w:val="center"/>
          </w:tcPr>
          <w:p w14:paraId="3C2466EC" w14:textId="77777777" w:rsidR="00366699" w:rsidRPr="00920E2C" w:rsidRDefault="00366699" w:rsidP="00A56B30">
            <w:pPr>
              <w:spacing w:after="0" w:line="240" w:lineRule="auto"/>
              <w:jc w:val="right"/>
              <w:rPr>
                <w:rFonts w:ascii="The Wave Sans TT" w:hAnsi="The Wave Sans TT" w:cs="Arial"/>
                <w:sz w:val="20"/>
                <w:lang w:val="en-US"/>
              </w:rPr>
            </w:pPr>
            <w:r w:rsidRPr="00920E2C">
              <w:rPr>
                <w:rFonts w:ascii="The Wave Sans TT" w:hAnsi="The Wave Sans TT" w:cs="Arial"/>
                <w:sz w:val="20"/>
                <w:lang w:val="en-US"/>
              </w:rPr>
              <w:t>7</w:t>
            </w:r>
            <w:r w:rsidRPr="00920E2C">
              <w:rPr>
                <w:rFonts w:ascii="The Wave Sans TT" w:hAnsi="The Wave Sans TT" w:cs="Arial"/>
                <w:sz w:val="20"/>
              </w:rPr>
              <w:t>5</w:t>
            </w:r>
          </w:p>
        </w:tc>
        <w:tc>
          <w:tcPr>
            <w:tcW w:w="855" w:type="dxa"/>
            <w:tcBorders>
              <w:top w:val="nil"/>
              <w:left w:val="nil"/>
              <w:bottom w:val="nil"/>
              <w:right w:val="nil"/>
            </w:tcBorders>
            <w:vAlign w:val="center"/>
          </w:tcPr>
          <w:p w14:paraId="5B8D3A7C" w14:textId="77777777" w:rsidR="00366699" w:rsidRPr="00920E2C" w:rsidRDefault="00366699" w:rsidP="00A56B30">
            <w:pPr>
              <w:widowControl w:val="0"/>
              <w:adjustRightInd w:val="0"/>
              <w:spacing w:after="0" w:line="240" w:lineRule="auto"/>
              <w:jc w:val="right"/>
              <w:textAlignment w:val="baseline"/>
              <w:rPr>
                <w:rFonts w:ascii="The Wave Sans TT" w:hAnsi="The Wave Sans TT" w:cs="Arial"/>
                <w:sz w:val="20"/>
                <w:lang w:val="en-US"/>
              </w:rPr>
            </w:pPr>
            <w:r w:rsidRPr="00920E2C">
              <w:rPr>
                <w:rFonts w:ascii="The Wave Sans TT" w:hAnsi="The Wave Sans TT" w:cs="Arial"/>
                <w:sz w:val="20"/>
                <w:lang w:val="en-US"/>
              </w:rPr>
              <w:t>2</w:t>
            </w:r>
            <w:r w:rsidRPr="00920E2C">
              <w:rPr>
                <w:rFonts w:ascii="The Wave Sans TT" w:hAnsi="The Wave Sans TT" w:cs="Arial"/>
                <w:sz w:val="20"/>
              </w:rPr>
              <w:t>7</w:t>
            </w:r>
            <w:r w:rsidRPr="00920E2C">
              <w:rPr>
                <w:rFonts w:ascii="The Wave Sans TT" w:hAnsi="The Wave Sans TT" w:cs="Arial"/>
                <w:sz w:val="20"/>
                <w:lang w:val="en-US"/>
              </w:rPr>
              <w:t>%</w:t>
            </w:r>
          </w:p>
        </w:tc>
        <w:tc>
          <w:tcPr>
            <w:tcW w:w="855" w:type="dxa"/>
            <w:tcBorders>
              <w:top w:val="nil"/>
              <w:left w:val="nil"/>
              <w:bottom w:val="nil"/>
              <w:right w:val="nil"/>
            </w:tcBorders>
            <w:vAlign w:val="center"/>
          </w:tcPr>
          <w:p w14:paraId="54097D37" w14:textId="77777777" w:rsidR="00366699" w:rsidRPr="00920E2C" w:rsidRDefault="00366699" w:rsidP="00A56B30">
            <w:pPr>
              <w:spacing w:after="0" w:line="240" w:lineRule="auto"/>
              <w:jc w:val="right"/>
              <w:rPr>
                <w:rFonts w:ascii="The Wave Sans TT" w:hAnsi="The Wave Sans TT" w:cs="Arial"/>
                <w:bCs/>
                <w:iCs/>
                <w:sz w:val="20"/>
                <w:lang w:val="en-US"/>
              </w:rPr>
            </w:pPr>
            <w:r w:rsidRPr="00920E2C">
              <w:rPr>
                <w:rFonts w:ascii="The Wave Sans TT" w:hAnsi="The Wave Sans TT" w:cs="Arial"/>
                <w:bCs/>
                <w:iCs/>
                <w:sz w:val="20"/>
                <w:lang w:val="en-US"/>
              </w:rPr>
              <w:t>400</w:t>
            </w:r>
          </w:p>
        </w:tc>
        <w:tc>
          <w:tcPr>
            <w:tcW w:w="855" w:type="dxa"/>
            <w:tcBorders>
              <w:top w:val="nil"/>
              <w:left w:val="nil"/>
              <w:bottom w:val="nil"/>
              <w:right w:val="nil"/>
            </w:tcBorders>
            <w:vAlign w:val="center"/>
          </w:tcPr>
          <w:p w14:paraId="0B157C7A" w14:textId="77777777" w:rsidR="00366699" w:rsidRPr="00920E2C" w:rsidRDefault="00366699" w:rsidP="00A56B30">
            <w:pPr>
              <w:spacing w:after="0" w:line="240" w:lineRule="auto"/>
              <w:jc w:val="right"/>
              <w:rPr>
                <w:rFonts w:ascii="The Wave Sans TT" w:hAnsi="The Wave Sans TT" w:cs="Arial"/>
                <w:bCs/>
                <w:iCs/>
                <w:sz w:val="20"/>
                <w:lang w:val="en-US"/>
              </w:rPr>
            </w:pPr>
            <w:r w:rsidRPr="00920E2C">
              <w:rPr>
                <w:rFonts w:ascii="The Wave Sans TT" w:hAnsi="The Wave Sans TT" w:cs="Arial"/>
                <w:bCs/>
                <w:iCs/>
                <w:sz w:val="20"/>
                <w:lang w:val="en-US"/>
              </w:rPr>
              <w:t>1.41</w:t>
            </w:r>
            <w:r w:rsidRPr="00920E2C">
              <w:rPr>
                <w:rFonts w:ascii="The Wave Sans TT" w:hAnsi="The Wave Sans TT" w:cs="Arial"/>
                <w:bCs/>
                <w:iCs/>
                <w:sz w:val="20"/>
              </w:rPr>
              <w:t>3</w:t>
            </w:r>
          </w:p>
        </w:tc>
        <w:tc>
          <w:tcPr>
            <w:tcW w:w="952" w:type="dxa"/>
            <w:tcBorders>
              <w:top w:val="nil"/>
              <w:left w:val="nil"/>
              <w:bottom w:val="nil"/>
            </w:tcBorders>
            <w:vAlign w:val="center"/>
          </w:tcPr>
          <w:p w14:paraId="52551176" w14:textId="77777777" w:rsidR="00366699" w:rsidRPr="00920E2C" w:rsidRDefault="00366699" w:rsidP="00A56B30">
            <w:pPr>
              <w:spacing w:after="0" w:line="240" w:lineRule="auto"/>
              <w:jc w:val="right"/>
              <w:rPr>
                <w:rFonts w:ascii="The Wave Sans TT" w:hAnsi="The Wave Sans TT" w:cs="Arial"/>
                <w:bCs/>
                <w:iCs/>
                <w:sz w:val="20"/>
                <w:lang w:val="en-US"/>
              </w:rPr>
            </w:pPr>
            <w:r w:rsidRPr="00920E2C">
              <w:rPr>
                <w:rFonts w:ascii="The Wave Sans TT" w:hAnsi="The Wave Sans TT" w:cs="Arial"/>
                <w:bCs/>
                <w:iCs/>
                <w:sz w:val="20"/>
                <w:lang w:val="en-US"/>
              </w:rPr>
              <w:t>-</w:t>
            </w:r>
          </w:p>
        </w:tc>
      </w:tr>
      <w:tr w:rsidR="00366699" w:rsidRPr="00920E2C" w14:paraId="0ACD2C7D" w14:textId="77777777" w:rsidTr="00A56B30">
        <w:trPr>
          <w:trHeight w:hRule="exact" w:val="432"/>
        </w:trPr>
        <w:tc>
          <w:tcPr>
            <w:tcW w:w="3415" w:type="dxa"/>
            <w:tcBorders>
              <w:top w:val="nil"/>
              <w:bottom w:val="nil"/>
              <w:right w:val="nil"/>
            </w:tcBorders>
            <w:vAlign w:val="center"/>
            <w:hideMark/>
          </w:tcPr>
          <w:p w14:paraId="2008A3F2"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sz w:val="20"/>
                <w:szCs w:val="18"/>
              </w:rPr>
              <w:t>Καθαρά Κέρδη</w:t>
            </w:r>
          </w:p>
        </w:tc>
        <w:tc>
          <w:tcPr>
            <w:tcW w:w="855" w:type="dxa"/>
            <w:tcBorders>
              <w:top w:val="nil"/>
              <w:left w:val="nil"/>
              <w:bottom w:val="nil"/>
              <w:right w:val="nil"/>
            </w:tcBorders>
            <w:vAlign w:val="center"/>
            <w:hideMark/>
          </w:tcPr>
          <w:p w14:paraId="06862CBF"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82</w:t>
            </w:r>
          </w:p>
        </w:tc>
        <w:tc>
          <w:tcPr>
            <w:tcW w:w="855" w:type="dxa"/>
            <w:tcBorders>
              <w:top w:val="nil"/>
              <w:left w:val="nil"/>
              <w:bottom w:val="nil"/>
              <w:right w:val="nil"/>
            </w:tcBorders>
            <w:vAlign w:val="center"/>
            <w:hideMark/>
          </w:tcPr>
          <w:p w14:paraId="646F46D8"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-23</w:t>
            </w:r>
            <w:r w:rsidRPr="00920E2C">
              <w:rPr>
                <w:rFonts w:ascii="The Wave Sans TT" w:hAnsi="The Wave Sans TT" w:cs="Arial"/>
                <w:sz w:val="20"/>
              </w:rPr>
              <w:t>2</w:t>
            </w:r>
          </w:p>
        </w:tc>
        <w:tc>
          <w:tcPr>
            <w:tcW w:w="855" w:type="dxa"/>
            <w:tcBorders>
              <w:top w:val="nil"/>
              <w:left w:val="nil"/>
              <w:bottom w:val="nil"/>
              <w:right w:val="nil"/>
            </w:tcBorders>
            <w:vAlign w:val="center"/>
            <w:hideMark/>
          </w:tcPr>
          <w:p w14:paraId="1BFDB3CC"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rPr>
              <w:t>-</w:t>
            </w:r>
          </w:p>
        </w:tc>
        <w:tc>
          <w:tcPr>
            <w:tcW w:w="855" w:type="dxa"/>
            <w:tcBorders>
              <w:top w:val="nil"/>
              <w:left w:val="nil"/>
              <w:bottom w:val="nil"/>
              <w:right w:val="nil"/>
            </w:tcBorders>
            <w:vAlign w:val="center"/>
            <w:hideMark/>
          </w:tcPr>
          <w:p w14:paraId="6EE75F17"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337</w:t>
            </w:r>
          </w:p>
        </w:tc>
        <w:tc>
          <w:tcPr>
            <w:tcW w:w="855" w:type="dxa"/>
            <w:tcBorders>
              <w:top w:val="nil"/>
              <w:left w:val="nil"/>
              <w:bottom w:val="nil"/>
              <w:right w:val="nil"/>
            </w:tcBorders>
            <w:vAlign w:val="center"/>
            <w:hideMark/>
          </w:tcPr>
          <w:p w14:paraId="3D37E839"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szCs w:val="20"/>
                <w:lang w:val="en-US"/>
              </w:rPr>
              <w:t>8</w:t>
            </w:r>
            <w:r w:rsidRPr="00920E2C">
              <w:rPr>
                <w:rFonts w:ascii="The Wave Sans TT" w:hAnsi="The Wave Sans TT" w:cs="Arial"/>
                <w:sz w:val="20"/>
                <w:szCs w:val="20"/>
              </w:rPr>
              <w:t>90</w:t>
            </w:r>
          </w:p>
        </w:tc>
        <w:tc>
          <w:tcPr>
            <w:tcW w:w="952" w:type="dxa"/>
            <w:tcBorders>
              <w:top w:val="nil"/>
              <w:left w:val="nil"/>
              <w:bottom w:val="nil"/>
            </w:tcBorders>
            <w:vAlign w:val="center"/>
            <w:hideMark/>
          </w:tcPr>
          <w:p w14:paraId="24D497B8" w14:textId="77777777" w:rsidR="00366699" w:rsidRPr="00920E2C" w:rsidRDefault="00366699" w:rsidP="00A56B30">
            <w:pPr>
              <w:spacing w:after="0" w:line="240" w:lineRule="auto"/>
              <w:jc w:val="right"/>
              <w:rPr>
                <w:rFonts w:ascii="The Wave Sans TT" w:hAnsi="The Wave Sans TT" w:cs="Arial"/>
                <w:bCs/>
                <w:iCs/>
                <w:sz w:val="20"/>
                <w:szCs w:val="18"/>
              </w:rPr>
            </w:pPr>
            <w:r w:rsidRPr="00920E2C">
              <w:rPr>
                <w:rFonts w:ascii="The Wave Sans TT" w:hAnsi="The Wave Sans TT" w:cs="Arial"/>
                <w:bCs/>
                <w:iCs/>
                <w:sz w:val="20"/>
                <w:lang w:val="en-US"/>
              </w:rPr>
              <w:t>-</w:t>
            </w:r>
          </w:p>
        </w:tc>
      </w:tr>
      <w:tr w:rsidR="00366699" w:rsidRPr="00920E2C" w14:paraId="0F8A2EB0" w14:textId="77777777" w:rsidTr="00A56B30">
        <w:trPr>
          <w:trHeight w:hRule="exact" w:val="432"/>
        </w:trPr>
        <w:tc>
          <w:tcPr>
            <w:tcW w:w="3415" w:type="dxa"/>
            <w:tcBorders>
              <w:top w:val="nil"/>
              <w:bottom w:val="nil"/>
              <w:right w:val="nil"/>
            </w:tcBorders>
            <w:vAlign w:val="center"/>
            <w:hideMark/>
          </w:tcPr>
          <w:p w14:paraId="7C306530" w14:textId="77777777" w:rsidR="00366699" w:rsidRPr="00920E2C" w:rsidRDefault="00366699" w:rsidP="00A56B30">
            <w:pPr>
              <w:spacing w:after="0" w:line="240" w:lineRule="auto"/>
              <w:rPr>
                <w:rFonts w:ascii="The Wave Sans TT" w:hAnsi="The Wave Sans TT" w:cs="Arial"/>
                <w:b/>
                <w:bCs/>
                <w:iCs/>
                <w:sz w:val="20"/>
                <w:szCs w:val="18"/>
                <w:lang w:val="en-GB"/>
              </w:rPr>
            </w:pPr>
            <w:r w:rsidRPr="00920E2C">
              <w:rPr>
                <w:rFonts w:ascii="The Wave Sans TT" w:hAnsi="The Wave Sans TT" w:cs="Arial"/>
                <w:b/>
                <w:sz w:val="20"/>
                <w:szCs w:val="18"/>
              </w:rPr>
              <w:t xml:space="preserve">Συγκρίσιμα Καθαρά Κέρδη </w:t>
            </w:r>
            <w:r w:rsidRPr="00920E2C">
              <w:rPr>
                <w:rFonts w:ascii="The Wave Sans TT" w:hAnsi="The Wave Sans TT" w:cs="Arial"/>
                <w:b/>
                <w:sz w:val="20"/>
                <w:szCs w:val="18"/>
                <w:vertAlign w:val="superscript"/>
              </w:rPr>
              <w:t>1</w:t>
            </w:r>
          </w:p>
        </w:tc>
        <w:tc>
          <w:tcPr>
            <w:tcW w:w="855" w:type="dxa"/>
            <w:tcBorders>
              <w:top w:val="nil"/>
              <w:left w:val="nil"/>
              <w:bottom w:val="nil"/>
              <w:right w:val="nil"/>
            </w:tcBorders>
            <w:vAlign w:val="center"/>
            <w:hideMark/>
          </w:tcPr>
          <w:p w14:paraId="67A6E1F7" w14:textId="77777777" w:rsidR="00366699" w:rsidRPr="00920E2C" w:rsidRDefault="00366699" w:rsidP="00A56B30">
            <w:pPr>
              <w:widowControl w:val="0"/>
              <w:adjustRightInd w:val="0"/>
              <w:spacing w:after="0" w:line="240" w:lineRule="auto"/>
              <w:jc w:val="right"/>
              <w:textAlignment w:val="baseline"/>
              <w:rPr>
                <w:rFonts w:ascii="The Wave Sans TT" w:eastAsia="PMingLiU" w:hAnsi="The Wave Sans TT" w:cs="Arial"/>
                <w:b/>
                <w:sz w:val="20"/>
                <w:szCs w:val="18"/>
              </w:rPr>
            </w:pPr>
            <w:r w:rsidRPr="00920E2C">
              <w:rPr>
                <w:rFonts w:ascii="The Wave Sans TT" w:hAnsi="The Wave Sans TT" w:cs="Arial"/>
                <w:b/>
                <w:sz w:val="20"/>
                <w:lang w:val="en-US"/>
              </w:rPr>
              <w:t>92</w:t>
            </w:r>
          </w:p>
        </w:tc>
        <w:tc>
          <w:tcPr>
            <w:tcW w:w="855" w:type="dxa"/>
            <w:tcBorders>
              <w:top w:val="nil"/>
              <w:left w:val="nil"/>
              <w:bottom w:val="nil"/>
              <w:right w:val="nil"/>
            </w:tcBorders>
            <w:vAlign w:val="center"/>
            <w:hideMark/>
          </w:tcPr>
          <w:p w14:paraId="0837A091" w14:textId="77777777" w:rsidR="00366699" w:rsidRPr="00920E2C" w:rsidRDefault="00366699" w:rsidP="00A56B30">
            <w:pPr>
              <w:spacing w:after="0" w:line="240" w:lineRule="auto"/>
              <w:jc w:val="right"/>
              <w:rPr>
                <w:rFonts w:ascii="The Wave Sans TT" w:hAnsi="The Wave Sans TT" w:cs="Arial"/>
                <w:b/>
                <w:sz w:val="20"/>
                <w:szCs w:val="18"/>
              </w:rPr>
            </w:pPr>
            <w:r w:rsidRPr="00920E2C">
              <w:rPr>
                <w:rFonts w:ascii="The Wave Sans TT" w:hAnsi="The Wave Sans TT" w:cs="Arial"/>
                <w:b/>
                <w:sz w:val="20"/>
                <w:lang w:val="en-US"/>
              </w:rPr>
              <w:t>2</w:t>
            </w:r>
            <w:r>
              <w:rPr>
                <w:rFonts w:ascii="The Wave Sans TT" w:hAnsi="The Wave Sans TT" w:cs="Arial"/>
                <w:b/>
                <w:sz w:val="20"/>
                <w:lang w:val="en-US"/>
              </w:rPr>
              <w:t>61</w:t>
            </w:r>
          </w:p>
        </w:tc>
        <w:tc>
          <w:tcPr>
            <w:tcW w:w="855" w:type="dxa"/>
            <w:tcBorders>
              <w:top w:val="nil"/>
              <w:left w:val="nil"/>
              <w:bottom w:val="nil"/>
              <w:right w:val="nil"/>
            </w:tcBorders>
            <w:vAlign w:val="center"/>
            <w:hideMark/>
          </w:tcPr>
          <w:p w14:paraId="59179A5D" w14:textId="77777777" w:rsidR="00366699" w:rsidRPr="00920E2C" w:rsidRDefault="00366699" w:rsidP="00A56B30">
            <w:pPr>
              <w:widowControl w:val="0"/>
              <w:adjustRightInd w:val="0"/>
              <w:spacing w:after="0" w:line="240" w:lineRule="auto"/>
              <w:jc w:val="right"/>
              <w:textAlignment w:val="baseline"/>
              <w:rPr>
                <w:rFonts w:ascii="The Wave Sans TT" w:hAnsi="The Wave Sans TT" w:cs="Arial"/>
                <w:b/>
                <w:sz w:val="20"/>
                <w:szCs w:val="18"/>
              </w:rPr>
            </w:pPr>
            <w:r w:rsidRPr="00920E2C">
              <w:rPr>
                <w:rFonts w:ascii="The Wave Sans TT" w:hAnsi="The Wave Sans TT" w:cs="Arial"/>
                <w:b/>
                <w:sz w:val="20"/>
              </w:rPr>
              <w:t>-</w:t>
            </w:r>
          </w:p>
        </w:tc>
        <w:tc>
          <w:tcPr>
            <w:tcW w:w="855" w:type="dxa"/>
            <w:tcBorders>
              <w:top w:val="nil"/>
              <w:left w:val="nil"/>
              <w:bottom w:val="nil"/>
              <w:right w:val="nil"/>
            </w:tcBorders>
            <w:vAlign w:val="center"/>
            <w:hideMark/>
          </w:tcPr>
          <w:p w14:paraId="7989CAC2" w14:textId="77777777" w:rsidR="00366699" w:rsidRPr="00920E2C" w:rsidRDefault="00366699" w:rsidP="00A56B30">
            <w:pPr>
              <w:spacing w:after="0" w:line="240" w:lineRule="auto"/>
              <w:jc w:val="right"/>
              <w:rPr>
                <w:rFonts w:ascii="The Wave Sans TT" w:hAnsi="The Wave Sans TT" w:cs="Arial"/>
                <w:b/>
                <w:bCs/>
                <w:iCs/>
                <w:sz w:val="20"/>
                <w:szCs w:val="18"/>
                <w:lang w:val="en-US"/>
              </w:rPr>
            </w:pPr>
            <w:r w:rsidRPr="00920E2C">
              <w:rPr>
                <w:rFonts w:ascii="The Wave Sans TT" w:hAnsi="The Wave Sans TT" w:cs="Arial"/>
                <w:b/>
                <w:bCs/>
                <w:iCs/>
                <w:sz w:val="20"/>
                <w:lang w:val="en-US"/>
              </w:rPr>
              <w:t>140</w:t>
            </w:r>
          </w:p>
        </w:tc>
        <w:tc>
          <w:tcPr>
            <w:tcW w:w="855" w:type="dxa"/>
            <w:tcBorders>
              <w:top w:val="nil"/>
              <w:left w:val="nil"/>
              <w:bottom w:val="nil"/>
              <w:right w:val="nil"/>
            </w:tcBorders>
            <w:vAlign w:val="center"/>
            <w:hideMark/>
          </w:tcPr>
          <w:p w14:paraId="363460AD" w14:textId="77777777" w:rsidR="00366699" w:rsidRPr="00920E2C" w:rsidRDefault="00366699" w:rsidP="00A56B30">
            <w:pPr>
              <w:spacing w:after="0" w:line="240" w:lineRule="auto"/>
              <w:jc w:val="right"/>
              <w:rPr>
                <w:rFonts w:ascii="The Wave Sans TT" w:hAnsi="The Wave Sans TT" w:cs="Arial"/>
                <w:b/>
                <w:bCs/>
                <w:iCs/>
                <w:sz w:val="20"/>
                <w:szCs w:val="18"/>
              </w:rPr>
            </w:pPr>
            <w:r>
              <w:rPr>
                <w:rFonts w:ascii="The Wave Sans TT" w:hAnsi="The Wave Sans TT" w:cs="Arial"/>
                <w:b/>
                <w:bCs/>
                <w:iCs/>
                <w:sz w:val="20"/>
                <w:lang w:val="en-US"/>
              </w:rPr>
              <w:t>1.006</w:t>
            </w:r>
          </w:p>
        </w:tc>
        <w:tc>
          <w:tcPr>
            <w:tcW w:w="952" w:type="dxa"/>
            <w:tcBorders>
              <w:top w:val="nil"/>
              <w:left w:val="nil"/>
              <w:bottom w:val="nil"/>
            </w:tcBorders>
            <w:vAlign w:val="center"/>
            <w:hideMark/>
          </w:tcPr>
          <w:p w14:paraId="126D8B6A" w14:textId="77777777" w:rsidR="00366699" w:rsidRPr="00920E2C" w:rsidRDefault="00366699" w:rsidP="00A56B30">
            <w:pPr>
              <w:spacing w:after="0" w:line="240" w:lineRule="auto"/>
              <w:jc w:val="right"/>
              <w:rPr>
                <w:rFonts w:ascii="The Wave Sans TT" w:hAnsi="The Wave Sans TT" w:cs="Arial"/>
                <w:b/>
                <w:bCs/>
                <w:iCs/>
                <w:sz w:val="20"/>
                <w:szCs w:val="18"/>
                <w:lang w:val="en-US"/>
              </w:rPr>
            </w:pPr>
            <w:r w:rsidRPr="00920E2C">
              <w:rPr>
                <w:rFonts w:ascii="The Wave Sans TT" w:hAnsi="The Wave Sans TT" w:cs="Arial"/>
                <w:b/>
                <w:bCs/>
                <w:iCs/>
                <w:sz w:val="20"/>
                <w:lang w:val="en-US"/>
              </w:rPr>
              <w:t>-</w:t>
            </w:r>
          </w:p>
        </w:tc>
      </w:tr>
      <w:tr w:rsidR="00366699" w:rsidRPr="00920E2C" w14:paraId="17F0E575" w14:textId="77777777" w:rsidTr="00A56B30">
        <w:trPr>
          <w:trHeight w:hRule="exact" w:val="432"/>
        </w:trPr>
        <w:tc>
          <w:tcPr>
            <w:tcW w:w="3415" w:type="dxa"/>
            <w:tcBorders>
              <w:top w:val="nil"/>
              <w:bottom w:val="nil"/>
              <w:right w:val="nil"/>
            </w:tcBorders>
            <w:shd w:val="clear" w:color="auto" w:fill="E6E6EB"/>
            <w:vAlign w:val="center"/>
            <w:hideMark/>
          </w:tcPr>
          <w:p w14:paraId="432DCCDC" w14:textId="77777777" w:rsidR="00366699" w:rsidRPr="00920E2C" w:rsidRDefault="00366699" w:rsidP="00A56B30">
            <w:pPr>
              <w:spacing w:after="0" w:line="240" w:lineRule="auto"/>
              <w:rPr>
                <w:rFonts w:ascii="The Wave Sans TT" w:hAnsi="The Wave Sans TT" w:cs="Arial"/>
                <w:bCs/>
                <w:iCs/>
                <w:sz w:val="20"/>
                <w:szCs w:val="18"/>
                <w:lang w:val="en-US"/>
              </w:rPr>
            </w:pPr>
            <w:r w:rsidRPr="00920E2C">
              <w:rPr>
                <w:rFonts w:ascii="The Wave Sans TT" w:hAnsi="The Wave Sans TT" w:cs="Arial"/>
                <w:b/>
                <w:bCs/>
                <w:sz w:val="20"/>
                <w:szCs w:val="18"/>
              </w:rPr>
              <w:t xml:space="preserve">Κύρια Στοιχεία Ισολογισμού </w:t>
            </w:r>
          </w:p>
        </w:tc>
        <w:tc>
          <w:tcPr>
            <w:tcW w:w="855" w:type="dxa"/>
            <w:tcBorders>
              <w:top w:val="nil"/>
              <w:left w:val="nil"/>
              <w:bottom w:val="nil"/>
              <w:right w:val="nil"/>
            </w:tcBorders>
            <w:shd w:val="clear" w:color="auto" w:fill="E6E6EB"/>
            <w:vAlign w:val="center"/>
          </w:tcPr>
          <w:p w14:paraId="4F18F33B" w14:textId="77777777" w:rsidR="00366699" w:rsidRPr="00920E2C" w:rsidRDefault="00366699" w:rsidP="00A56B30">
            <w:pPr>
              <w:spacing w:after="0" w:line="240" w:lineRule="auto"/>
              <w:jc w:val="right"/>
              <w:rPr>
                <w:rFonts w:ascii="The Wave Sans TT" w:hAnsi="The Wave Sans TT" w:cs="Arial"/>
                <w:b/>
                <w:bCs/>
                <w:sz w:val="20"/>
                <w:szCs w:val="18"/>
              </w:rPr>
            </w:pPr>
          </w:p>
        </w:tc>
        <w:tc>
          <w:tcPr>
            <w:tcW w:w="855" w:type="dxa"/>
            <w:tcBorders>
              <w:top w:val="nil"/>
              <w:left w:val="nil"/>
              <w:bottom w:val="nil"/>
              <w:right w:val="nil"/>
            </w:tcBorders>
            <w:shd w:val="clear" w:color="auto" w:fill="E6E6EB"/>
            <w:vAlign w:val="center"/>
          </w:tcPr>
          <w:p w14:paraId="0B37FA13" w14:textId="77777777" w:rsidR="00366699" w:rsidRPr="00920E2C" w:rsidRDefault="00366699" w:rsidP="00A56B30">
            <w:pPr>
              <w:spacing w:after="0" w:line="240" w:lineRule="auto"/>
              <w:jc w:val="right"/>
              <w:rPr>
                <w:rFonts w:ascii="The Wave Sans TT" w:hAnsi="The Wave Sans TT" w:cs="Arial"/>
                <w:b/>
                <w:bCs/>
                <w:sz w:val="20"/>
                <w:szCs w:val="18"/>
              </w:rPr>
            </w:pPr>
          </w:p>
        </w:tc>
        <w:tc>
          <w:tcPr>
            <w:tcW w:w="855" w:type="dxa"/>
            <w:tcBorders>
              <w:top w:val="nil"/>
              <w:left w:val="nil"/>
              <w:bottom w:val="nil"/>
              <w:right w:val="nil"/>
            </w:tcBorders>
            <w:shd w:val="clear" w:color="auto" w:fill="E6E6EB"/>
            <w:vAlign w:val="center"/>
          </w:tcPr>
          <w:p w14:paraId="7D8163FF" w14:textId="77777777" w:rsidR="00366699" w:rsidRPr="00920E2C" w:rsidRDefault="00366699" w:rsidP="00A56B30">
            <w:pPr>
              <w:spacing w:after="0" w:line="240" w:lineRule="auto"/>
              <w:jc w:val="right"/>
              <w:rPr>
                <w:rFonts w:ascii="The Wave Sans TT" w:hAnsi="The Wave Sans TT" w:cs="Arial"/>
                <w:b/>
                <w:bCs/>
                <w:sz w:val="20"/>
                <w:szCs w:val="18"/>
                <w:lang w:val="en-GB"/>
              </w:rPr>
            </w:pPr>
          </w:p>
        </w:tc>
        <w:tc>
          <w:tcPr>
            <w:tcW w:w="855" w:type="dxa"/>
            <w:tcBorders>
              <w:top w:val="nil"/>
              <w:left w:val="nil"/>
              <w:bottom w:val="nil"/>
              <w:right w:val="nil"/>
            </w:tcBorders>
            <w:shd w:val="clear" w:color="auto" w:fill="E6E6EB"/>
            <w:vAlign w:val="center"/>
          </w:tcPr>
          <w:p w14:paraId="67E61735" w14:textId="77777777" w:rsidR="00366699" w:rsidRPr="00920E2C" w:rsidRDefault="00366699" w:rsidP="00A56B30">
            <w:pPr>
              <w:spacing w:after="0" w:line="240" w:lineRule="auto"/>
              <w:jc w:val="right"/>
              <w:rPr>
                <w:rFonts w:ascii="The Wave Sans TT" w:hAnsi="The Wave Sans TT" w:cs="Arial"/>
                <w:b/>
                <w:bCs/>
                <w:sz w:val="20"/>
                <w:szCs w:val="18"/>
                <w:lang w:val="en-GB"/>
              </w:rPr>
            </w:pPr>
          </w:p>
        </w:tc>
        <w:tc>
          <w:tcPr>
            <w:tcW w:w="855" w:type="dxa"/>
            <w:tcBorders>
              <w:top w:val="nil"/>
              <w:left w:val="nil"/>
              <w:bottom w:val="nil"/>
              <w:right w:val="nil"/>
            </w:tcBorders>
            <w:shd w:val="clear" w:color="auto" w:fill="E6E6EB"/>
            <w:vAlign w:val="center"/>
          </w:tcPr>
          <w:p w14:paraId="011549EA" w14:textId="77777777" w:rsidR="00366699" w:rsidRPr="00920E2C" w:rsidRDefault="00366699" w:rsidP="00A56B30">
            <w:pPr>
              <w:spacing w:after="0" w:line="240" w:lineRule="auto"/>
              <w:jc w:val="right"/>
              <w:rPr>
                <w:rFonts w:ascii="The Wave Sans TT" w:hAnsi="The Wave Sans TT" w:cs="Arial"/>
                <w:b/>
                <w:bCs/>
                <w:sz w:val="20"/>
                <w:szCs w:val="18"/>
                <w:lang w:val="en-GB"/>
              </w:rPr>
            </w:pPr>
          </w:p>
        </w:tc>
        <w:tc>
          <w:tcPr>
            <w:tcW w:w="952" w:type="dxa"/>
            <w:tcBorders>
              <w:top w:val="nil"/>
              <w:left w:val="nil"/>
              <w:bottom w:val="nil"/>
            </w:tcBorders>
            <w:shd w:val="clear" w:color="auto" w:fill="E6E6EB"/>
            <w:vAlign w:val="center"/>
          </w:tcPr>
          <w:p w14:paraId="28C13A93" w14:textId="77777777" w:rsidR="00366699" w:rsidRPr="00920E2C" w:rsidRDefault="00366699" w:rsidP="00A56B30">
            <w:pPr>
              <w:spacing w:after="0" w:line="240" w:lineRule="auto"/>
              <w:jc w:val="right"/>
              <w:rPr>
                <w:rFonts w:ascii="The Wave Sans TT" w:hAnsi="The Wave Sans TT" w:cs="Arial"/>
                <w:b/>
                <w:bCs/>
                <w:sz w:val="20"/>
                <w:szCs w:val="18"/>
                <w:lang w:val="en-GB"/>
              </w:rPr>
            </w:pPr>
          </w:p>
        </w:tc>
      </w:tr>
      <w:tr w:rsidR="00366699" w:rsidRPr="00920E2C" w14:paraId="7B5F32A5" w14:textId="77777777" w:rsidTr="00A56B30">
        <w:trPr>
          <w:trHeight w:hRule="exact" w:val="432"/>
        </w:trPr>
        <w:tc>
          <w:tcPr>
            <w:tcW w:w="3415" w:type="dxa"/>
            <w:tcBorders>
              <w:top w:val="nil"/>
              <w:bottom w:val="nil"/>
              <w:right w:val="nil"/>
            </w:tcBorders>
            <w:vAlign w:val="center"/>
            <w:hideMark/>
          </w:tcPr>
          <w:p w14:paraId="0F9F867F" w14:textId="77777777" w:rsidR="00366699" w:rsidRPr="00920E2C" w:rsidRDefault="00366699" w:rsidP="00A56B30">
            <w:pPr>
              <w:spacing w:after="0" w:line="240" w:lineRule="auto"/>
              <w:rPr>
                <w:rFonts w:ascii="The Wave Sans TT" w:hAnsi="The Wave Sans TT" w:cs="Arial"/>
                <w:b/>
                <w:bCs/>
                <w:sz w:val="20"/>
                <w:szCs w:val="18"/>
                <w:lang w:val="en-GB"/>
              </w:rPr>
            </w:pPr>
            <w:r w:rsidRPr="00920E2C">
              <w:rPr>
                <w:rFonts w:ascii="The Wave Sans TT" w:hAnsi="The Wave Sans TT" w:cs="Arial"/>
                <w:sz w:val="20"/>
                <w:szCs w:val="18"/>
              </w:rPr>
              <w:t>Απασχολούμενα Κεφάλαια</w:t>
            </w:r>
          </w:p>
        </w:tc>
        <w:tc>
          <w:tcPr>
            <w:tcW w:w="855" w:type="dxa"/>
            <w:tcBorders>
              <w:top w:val="nil"/>
              <w:left w:val="nil"/>
              <w:bottom w:val="nil"/>
              <w:right w:val="nil"/>
            </w:tcBorders>
            <w:vAlign w:val="center"/>
          </w:tcPr>
          <w:p w14:paraId="75F76ED1"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tcPr>
          <w:p w14:paraId="306344B8"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tcPr>
          <w:p w14:paraId="6B502194"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hideMark/>
          </w:tcPr>
          <w:p w14:paraId="7C2529B1"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4.0</w:t>
            </w:r>
            <w:r w:rsidRPr="00920E2C">
              <w:rPr>
                <w:rFonts w:ascii="The Wave Sans TT" w:hAnsi="The Wave Sans TT" w:cs="Arial"/>
                <w:sz w:val="20"/>
              </w:rPr>
              <w:t>67</w:t>
            </w:r>
          </w:p>
        </w:tc>
        <w:tc>
          <w:tcPr>
            <w:tcW w:w="855" w:type="dxa"/>
            <w:tcBorders>
              <w:top w:val="nil"/>
              <w:left w:val="nil"/>
              <w:bottom w:val="nil"/>
              <w:right w:val="nil"/>
            </w:tcBorders>
            <w:vAlign w:val="center"/>
            <w:hideMark/>
          </w:tcPr>
          <w:p w14:paraId="38BD601D"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4.66</w:t>
            </w:r>
            <w:r w:rsidRPr="00920E2C">
              <w:rPr>
                <w:rFonts w:ascii="The Wave Sans TT" w:hAnsi="The Wave Sans TT" w:cs="Arial"/>
                <w:sz w:val="20"/>
              </w:rPr>
              <w:t>9</w:t>
            </w:r>
          </w:p>
        </w:tc>
        <w:tc>
          <w:tcPr>
            <w:tcW w:w="952" w:type="dxa"/>
            <w:tcBorders>
              <w:top w:val="nil"/>
              <w:left w:val="nil"/>
              <w:bottom w:val="nil"/>
            </w:tcBorders>
            <w:vAlign w:val="center"/>
            <w:hideMark/>
          </w:tcPr>
          <w:p w14:paraId="541D1944"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15</w:t>
            </w:r>
            <w:r w:rsidRPr="00920E2C">
              <w:rPr>
                <w:rFonts w:ascii="The Wave Sans TT" w:hAnsi="The Wave Sans TT" w:cs="Arial"/>
                <w:sz w:val="20"/>
              </w:rPr>
              <w:t>%</w:t>
            </w:r>
          </w:p>
        </w:tc>
      </w:tr>
      <w:tr w:rsidR="00366699" w:rsidRPr="00920E2C" w14:paraId="536B8971" w14:textId="77777777" w:rsidTr="00A56B30">
        <w:trPr>
          <w:trHeight w:hRule="exact" w:val="432"/>
        </w:trPr>
        <w:tc>
          <w:tcPr>
            <w:tcW w:w="3415" w:type="dxa"/>
            <w:tcBorders>
              <w:top w:val="nil"/>
              <w:bottom w:val="nil"/>
              <w:right w:val="nil"/>
            </w:tcBorders>
            <w:vAlign w:val="center"/>
            <w:hideMark/>
          </w:tcPr>
          <w:p w14:paraId="0E26E831"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sz w:val="20"/>
                <w:szCs w:val="18"/>
              </w:rPr>
              <w:t>Καθαρός Δανεισμός</w:t>
            </w:r>
          </w:p>
        </w:tc>
        <w:tc>
          <w:tcPr>
            <w:tcW w:w="855" w:type="dxa"/>
            <w:tcBorders>
              <w:top w:val="nil"/>
              <w:left w:val="nil"/>
              <w:bottom w:val="nil"/>
              <w:right w:val="nil"/>
            </w:tcBorders>
            <w:vAlign w:val="center"/>
          </w:tcPr>
          <w:p w14:paraId="05A66A35"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tcPr>
          <w:p w14:paraId="5C4534E4"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tcPr>
          <w:p w14:paraId="660AED29" w14:textId="77777777" w:rsidR="00366699" w:rsidRPr="00920E2C" w:rsidRDefault="00366699" w:rsidP="00A56B30">
            <w:pPr>
              <w:spacing w:after="0" w:line="240" w:lineRule="auto"/>
              <w:jc w:val="right"/>
              <w:rPr>
                <w:rFonts w:ascii="The Wave Sans TT" w:hAnsi="The Wave Sans TT" w:cs="Arial"/>
                <w:sz w:val="20"/>
                <w:szCs w:val="18"/>
              </w:rPr>
            </w:pPr>
          </w:p>
        </w:tc>
        <w:tc>
          <w:tcPr>
            <w:tcW w:w="855" w:type="dxa"/>
            <w:tcBorders>
              <w:top w:val="nil"/>
              <w:left w:val="nil"/>
              <w:bottom w:val="nil"/>
              <w:right w:val="nil"/>
            </w:tcBorders>
            <w:vAlign w:val="center"/>
            <w:hideMark/>
          </w:tcPr>
          <w:p w14:paraId="4C393208"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1.</w:t>
            </w:r>
            <w:r w:rsidRPr="00920E2C">
              <w:rPr>
                <w:rFonts w:ascii="The Wave Sans TT" w:hAnsi="The Wave Sans TT" w:cs="Arial"/>
                <w:sz w:val="20"/>
              </w:rPr>
              <w:t>938</w:t>
            </w:r>
          </w:p>
        </w:tc>
        <w:tc>
          <w:tcPr>
            <w:tcW w:w="855" w:type="dxa"/>
            <w:tcBorders>
              <w:top w:val="nil"/>
              <w:left w:val="nil"/>
              <w:bottom w:val="nil"/>
              <w:right w:val="nil"/>
            </w:tcBorders>
            <w:vAlign w:val="center"/>
            <w:hideMark/>
          </w:tcPr>
          <w:p w14:paraId="49414B93" w14:textId="77777777" w:rsidR="00366699" w:rsidRPr="00920E2C" w:rsidRDefault="00366699" w:rsidP="00A56B30">
            <w:pPr>
              <w:spacing w:after="0" w:line="240" w:lineRule="auto"/>
              <w:jc w:val="right"/>
              <w:rPr>
                <w:rFonts w:ascii="The Wave Sans TT" w:hAnsi="The Wave Sans TT" w:cs="Arial"/>
                <w:sz w:val="20"/>
                <w:szCs w:val="18"/>
                <w:lang w:val="en-US"/>
              </w:rPr>
            </w:pPr>
            <w:r w:rsidRPr="00920E2C">
              <w:rPr>
                <w:rFonts w:ascii="The Wave Sans TT" w:hAnsi="The Wave Sans TT" w:cs="Arial"/>
                <w:sz w:val="20"/>
                <w:lang w:val="en-US"/>
              </w:rPr>
              <w:t>1.</w:t>
            </w:r>
            <w:r w:rsidRPr="00920E2C">
              <w:rPr>
                <w:rFonts w:ascii="The Wave Sans TT" w:hAnsi="The Wave Sans TT" w:cs="Arial"/>
                <w:sz w:val="20"/>
              </w:rPr>
              <w:t>9</w:t>
            </w:r>
            <w:r w:rsidRPr="00920E2C">
              <w:rPr>
                <w:rFonts w:ascii="The Wave Sans TT" w:hAnsi="The Wave Sans TT" w:cs="Arial"/>
                <w:sz w:val="20"/>
                <w:lang w:val="en-US"/>
              </w:rPr>
              <w:t>4</w:t>
            </w:r>
            <w:r w:rsidRPr="00920E2C">
              <w:rPr>
                <w:rFonts w:ascii="The Wave Sans TT" w:hAnsi="The Wave Sans TT" w:cs="Arial"/>
                <w:sz w:val="20"/>
              </w:rPr>
              <w:t>2</w:t>
            </w:r>
          </w:p>
        </w:tc>
        <w:tc>
          <w:tcPr>
            <w:tcW w:w="952" w:type="dxa"/>
            <w:tcBorders>
              <w:top w:val="nil"/>
              <w:left w:val="nil"/>
              <w:bottom w:val="nil"/>
            </w:tcBorders>
            <w:vAlign w:val="center"/>
            <w:hideMark/>
          </w:tcPr>
          <w:p w14:paraId="68FD2B1B" w14:textId="77777777" w:rsidR="00366699" w:rsidRPr="00920E2C" w:rsidRDefault="00366699" w:rsidP="00A56B30">
            <w:pPr>
              <w:spacing w:after="0" w:line="240" w:lineRule="auto"/>
              <w:jc w:val="right"/>
              <w:rPr>
                <w:rFonts w:ascii="The Wave Sans TT" w:hAnsi="The Wave Sans TT" w:cs="Arial"/>
                <w:sz w:val="20"/>
                <w:szCs w:val="18"/>
              </w:rPr>
            </w:pPr>
            <w:r>
              <w:rPr>
                <w:rFonts w:ascii="The Wave Sans TT" w:hAnsi="The Wave Sans TT" w:cs="Arial"/>
                <w:sz w:val="20"/>
              </w:rPr>
              <w:t>-</w:t>
            </w:r>
          </w:p>
        </w:tc>
      </w:tr>
      <w:tr w:rsidR="00366699" w:rsidRPr="00920E2C" w14:paraId="4B3C320C" w14:textId="77777777" w:rsidTr="00A56B30">
        <w:trPr>
          <w:trHeight w:hRule="exact" w:val="432"/>
        </w:trPr>
        <w:tc>
          <w:tcPr>
            <w:tcW w:w="3415" w:type="dxa"/>
            <w:tcBorders>
              <w:top w:val="nil"/>
              <w:bottom w:val="single" w:sz="4" w:space="0" w:color="000099"/>
              <w:right w:val="nil"/>
            </w:tcBorders>
            <w:vAlign w:val="center"/>
            <w:hideMark/>
          </w:tcPr>
          <w:p w14:paraId="5F849DB3" w14:textId="77777777" w:rsidR="00366699" w:rsidRPr="00920E2C" w:rsidRDefault="00366699" w:rsidP="00A56B30">
            <w:pPr>
              <w:spacing w:after="0" w:line="240" w:lineRule="auto"/>
              <w:rPr>
                <w:rFonts w:ascii="The Wave Sans TT" w:hAnsi="The Wave Sans TT" w:cs="Arial"/>
                <w:bCs/>
                <w:iCs/>
                <w:sz w:val="20"/>
                <w:szCs w:val="18"/>
                <w:lang w:val="en-GB"/>
              </w:rPr>
            </w:pPr>
            <w:r w:rsidRPr="00920E2C">
              <w:rPr>
                <w:rFonts w:ascii="The Wave Sans TT" w:hAnsi="The Wave Sans TT" w:cs="Arial"/>
                <w:sz w:val="20"/>
                <w:szCs w:val="18"/>
              </w:rPr>
              <w:t xml:space="preserve">Συντελεστής Δανειακής </w:t>
            </w:r>
            <w:proofErr w:type="spellStart"/>
            <w:r w:rsidRPr="00920E2C">
              <w:rPr>
                <w:rFonts w:ascii="The Wave Sans TT" w:hAnsi="The Wave Sans TT" w:cs="Arial"/>
                <w:sz w:val="20"/>
                <w:szCs w:val="18"/>
              </w:rPr>
              <w:t>Μόχλευσης</w:t>
            </w:r>
            <w:proofErr w:type="spellEnd"/>
            <w:r w:rsidRPr="00920E2C">
              <w:rPr>
                <w:rFonts w:ascii="The Wave Sans TT" w:hAnsi="The Wave Sans TT" w:cs="Arial"/>
                <w:sz w:val="20"/>
                <w:szCs w:val="18"/>
              </w:rPr>
              <w:t xml:space="preserve"> </w:t>
            </w:r>
          </w:p>
        </w:tc>
        <w:tc>
          <w:tcPr>
            <w:tcW w:w="855" w:type="dxa"/>
            <w:tcBorders>
              <w:top w:val="nil"/>
              <w:left w:val="nil"/>
              <w:bottom w:val="single" w:sz="4" w:space="0" w:color="000099"/>
              <w:right w:val="nil"/>
            </w:tcBorders>
            <w:vAlign w:val="center"/>
          </w:tcPr>
          <w:p w14:paraId="7DA2BA35" w14:textId="77777777" w:rsidR="00366699" w:rsidRPr="00920E2C" w:rsidRDefault="00366699" w:rsidP="00A56B30">
            <w:pPr>
              <w:spacing w:after="0" w:line="240" w:lineRule="auto"/>
              <w:jc w:val="right"/>
              <w:rPr>
                <w:rFonts w:ascii="The Wave Sans TT" w:hAnsi="The Wave Sans TT" w:cs="Arial"/>
                <w:sz w:val="20"/>
                <w:szCs w:val="18"/>
                <w:lang w:val="en-US"/>
              </w:rPr>
            </w:pPr>
          </w:p>
        </w:tc>
        <w:tc>
          <w:tcPr>
            <w:tcW w:w="855" w:type="dxa"/>
            <w:tcBorders>
              <w:top w:val="nil"/>
              <w:left w:val="nil"/>
              <w:bottom w:val="single" w:sz="4" w:space="0" w:color="000099"/>
              <w:right w:val="nil"/>
            </w:tcBorders>
            <w:vAlign w:val="center"/>
          </w:tcPr>
          <w:p w14:paraId="66CE8FD1" w14:textId="77777777" w:rsidR="00366699" w:rsidRPr="00920E2C" w:rsidRDefault="00366699" w:rsidP="00A56B30">
            <w:pPr>
              <w:spacing w:after="0" w:line="240" w:lineRule="auto"/>
              <w:jc w:val="right"/>
              <w:rPr>
                <w:rFonts w:ascii="The Wave Sans TT" w:hAnsi="The Wave Sans TT" w:cs="Arial"/>
                <w:sz w:val="20"/>
                <w:szCs w:val="18"/>
                <w:lang w:val="en-US"/>
              </w:rPr>
            </w:pPr>
          </w:p>
        </w:tc>
        <w:tc>
          <w:tcPr>
            <w:tcW w:w="855" w:type="dxa"/>
            <w:tcBorders>
              <w:top w:val="nil"/>
              <w:left w:val="nil"/>
              <w:bottom w:val="single" w:sz="4" w:space="0" w:color="000099"/>
              <w:right w:val="nil"/>
            </w:tcBorders>
            <w:vAlign w:val="center"/>
          </w:tcPr>
          <w:p w14:paraId="1D703BD7" w14:textId="77777777" w:rsidR="00366699" w:rsidRPr="00920E2C" w:rsidRDefault="00366699" w:rsidP="00A56B30">
            <w:pPr>
              <w:spacing w:after="0" w:line="240" w:lineRule="auto"/>
              <w:jc w:val="right"/>
              <w:rPr>
                <w:rFonts w:ascii="The Wave Sans TT" w:hAnsi="The Wave Sans TT" w:cs="Arial"/>
                <w:sz w:val="20"/>
                <w:szCs w:val="18"/>
                <w:lang w:val="en-US"/>
              </w:rPr>
            </w:pPr>
          </w:p>
        </w:tc>
        <w:tc>
          <w:tcPr>
            <w:tcW w:w="855" w:type="dxa"/>
            <w:tcBorders>
              <w:top w:val="nil"/>
              <w:left w:val="nil"/>
              <w:bottom w:val="single" w:sz="4" w:space="0" w:color="000099"/>
              <w:right w:val="nil"/>
            </w:tcBorders>
            <w:vAlign w:val="center"/>
            <w:hideMark/>
          </w:tcPr>
          <w:p w14:paraId="75B464B2"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lang w:val="en-US"/>
              </w:rPr>
              <w:t>4</w:t>
            </w:r>
            <w:r w:rsidRPr="00920E2C">
              <w:rPr>
                <w:rFonts w:ascii="The Wave Sans TT" w:hAnsi="The Wave Sans TT" w:cs="Arial"/>
                <w:sz w:val="20"/>
              </w:rPr>
              <w:t>8</w:t>
            </w:r>
            <w:r w:rsidRPr="00920E2C">
              <w:rPr>
                <w:rFonts w:ascii="The Wave Sans TT" w:hAnsi="The Wave Sans TT" w:cs="Arial"/>
                <w:sz w:val="20"/>
                <w:lang w:val="en-US"/>
              </w:rPr>
              <w:t>%</w:t>
            </w:r>
          </w:p>
        </w:tc>
        <w:tc>
          <w:tcPr>
            <w:tcW w:w="855" w:type="dxa"/>
            <w:tcBorders>
              <w:top w:val="nil"/>
              <w:left w:val="nil"/>
              <w:bottom w:val="single" w:sz="4" w:space="0" w:color="000099"/>
              <w:right w:val="nil"/>
            </w:tcBorders>
            <w:vAlign w:val="center"/>
            <w:hideMark/>
          </w:tcPr>
          <w:p w14:paraId="2487E658" w14:textId="77777777" w:rsidR="00366699" w:rsidRPr="00920E2C" w:rsidRDefault="00366699" w:rsidP="00A56B30">
            <w:pPr>
              <w:spacing w:after="0" w:line="240" w:lineRule="auto"/>
              <w:jc w:val="right"/>
              <w:rPr>
                <w:rFonts w:ascii="The Wave Sans TT" w:hAnsi="The Wave Sans TT" w:cs="Arial"/>
                <w:sz w:val="20"/>
                <w:szCs w:val="18"/>
              </w:rPr>
            </w:pPr>
            <w:r w:rsidRPr="00920E2C">
              <w:rPr>
                <w:rFonts w:ascii="The Wave Sans TT" w:hAnsi="The Wave Sans TT" w:cs="Arial"/>
                <w:sz w:val="20"/>
              </w:rPr>
              <w:t>42</w:t>
            </w:r>
            <w:r w:rsidRPr="00920E2C">
              <w:rPr>
                <w:rFonts w:ascii="The Wave Sans TT" w:hAnsi="The Wave Sans TT" w:cs="Arial"/>
                <w:sz w:val="20"/>
                <w:lang w:val="en-US"/>
              </w:rPr>
              <w:t>%</w:t>
            </w:r>
          </w:p>
        </w:tc>
        <w:tc>
          <w:tcPr>
            <w:tcW w:w="952" w:type="dxa"/>
            <w:tcBorders>
              <w:top w:val="nil"/>
              <w:left w:val="nil"/>
              <w:bottom w:val="single" w:sz="4" w:space="0" w:color="000099"/>
            </w:tcBorders>
            <w:vAlign w:val="center"/>
            <w:hideMark/>
          </w:tcPr>
          <w:p w14:paraId="0C9C842E" w14:textId="77777777" w:rsidR="00366699" w:rsidRPr="00920E2C" w:rsidRDefault="00366699" w:rsidP="00A56B30">
            <w:pPr>
              <w:widowControl w:val="0"/>
              <w:adjustRightInd w:val="0"/>
              <w:snapToGrid w:val="0"/>
              <w:spacing w:before="120" w:after="120" w:line="360" w:lineRule="auto"/>
              <w:ind w:right="-199"/>
              <w:jc w:val="right"/>
              <w:textAlignment w:val="baseline"/>
              <w:rPr>
                <w:rFonts w:ascii="The Wave Sans TT" w:eastAsia="PMingLiU" w:hAnsi="The Wave Sans TT" w:cs="Arial"/>
                <w:bCs/>
                <w:snapToGrid w:val="0"/>
                <w:sz w:val="20"/>
                <w:szCs w:val="20"/>
                <w:vertAlign w:val="superscript"/>
                <w:lang w:eastAsia="ja-JP"/>
              </w:rPr>
            </w:pPr>
            <w:r w:rsidRPr="00920E2C">
              <w:rPr>
                <w:rFonts w:ascii="The Wave Sans TT" w:eastAsia="PMingLiU" w:hAnsi="The Wave Sans TT" w:cs="Arial"/>
                <w:snapToGrid w:val="0"/>
                <w:sz w:val="20"/>
                <w:lang w:val="en-US" w:eastAsia="ja-JP"/>
              </w:rPr>
              <w:t>-</w:t>
            </w:r>
            <w:r w:rsidRPr="00920E2C">
              <w:rPr>
                <w:rFonts w:ascii="The Wave Sans TT" w:eastAsia="PMingLiU" w:hAnsi="The Wave Sans TT" w:cs="Arial"/>
                <w:snapToGrid w:val="0"/>
                <w:sz w:val="20"/>
                <w:lang w:eastAsia="ja-JP"/>
              </w:rPr>
              <w:t>6 π.μ</w:t>
            </w:r>
            <w:r w:rsidRPr="00920E2C">
              <w:rPr>
                <w:rFonts w:ascii="The Wave Sans TT" w:eastAsia="PMingLiU" w:hAnsi="The Wave Sans TT" w:cs="Arial"/>
                <w:snapToGrid w:val="0"/>
                <w:sz w:val="20"/>
                <w:vertAlign w:val="superscript"/>
                <w:lang w:eastAsia="ja-JP"/>
              </w:rPr>
              <w:t>2</w:t>
            </w:r>
            <w:r w:rsidRPr="00920E2C">
              <w:rPr>
                <w:rFonts w:ascii="The Wave Sans TT" w:eastAsia="PMingLiU" w:hAnsi="The Wave Sans TT" w:cs="Arial"/>
                <w:bCs/>
                <w:snapToGrid w:val="0"/>
                <w:sz w:val="20"/>
                <w:szCs w:val="20"/>
                <w:vertAlign w:val="superscript"/>
                <w:lang w:eastAsia="ja-JP"/>
              </w:rPr>
              <w:t xml:space="preserve"> 2</w:t>
            </w:r>
          </w:p>
          <w:p w14:paraId="6B8793C1" w14:textId="77777777" w:rsidR="00366699" w:rsidRPr="00920E2C" w:rsidRDefault="00366699" w:rsidP="00A56B30">
            <w:pPr>
              <w:widowControl w:val="0"/>
              <w:adjustRightInd w:val="0"/>
              <w:snapToGrid w:val="0"/>
              <w:spacing w:before="120" w:after="120" w:line="360" w:lineRule="auto"/>
              <w:ind w:right="36"/>
              <w:jc w:val="right"/>
              <w:textAlignment w:val="baseline"/>
              <w:rPr>
                <w:rFonts w:ascii="The Wave Sans TT" w:eastAsia="PMingLiU" w:hAnsi="The Wave Sans TT" w:cs="Arial"/>
                <w:snapToGrid w:val="0"/>
                <w:sz w:val="20"/>
                <w:szCs w:val="18"/>
                <w:lang w:eastAsia="ja-JP"/>
              </w:rPr>
            </w:pPr>
          </w:p>
        </w:tc>
      </w:tr>
    </w:tbl>
    <w:p w14:paraId="5F58D597" w14:textId="77777777" w:rsidR="00366699" w:rsidRPr="00920E2C" w:rsidRDefault="00366699" w:rsidP="00366699">
      <w:pPr>
        <w:spacing w:before="120" w:after="120" w:line="360" w:lineRule="auto"/>
        <w:ind w:right="187"/>
        <w:rPr>
          <w:rFonts w:ascii="The Wave Sans TT" w:hAnsi="The Wave Sans TT" w:cs="Arial"/>
          <w:i/>
          <w:iCs/>
          <w:sz w:val="16"/>
          <w:szCs w:val="16"/>
          <w:lang w:val="en-US"/>
        </w:rPr>
      </w:pPr>
    </w:p>
    <w:p w14:paraId="6E06FCE3" w14:textId="77777777" w:rsidR="00366699" w:rsidRPr="00920E2C" w:rsidRDefault="00366699" w:rsidP="00366699">
      <w:pPr>
        <w:spacing w:before="120" w:after="120" w:line="360" w:lineRule="auto"/>
        <w:ind w:right="187"/>
        <w:rPr>
          <w:rFonts w:ascii="Arial" w:hAnsi="Arial" w:cs="Arial"/>
          <w:i/>
          <w:iCs/>
          <w:sz w:val="16"/>
          <w:szCs w:val="16"/>
          <w:vertAlign w:val="subscript"/>
        </w:rPr>
      </w:pPr>
      <w:r w:rsidRPr="00920E2C">
        <w:rPr>
          <w:rFonts w:ascii="Arial" w:hAnsi="Arial" w:cs="Arial"/>
          <w:i/>
          <w:iCs/>
          <w:sz w:val="16"/>
          <w:szCs w:val="16"/>
        </w:rPr>
        <w:t xml:space="preserve">Σημείωση 1: Αναπροσαρμοσμένα για τις επιπτώσεις από την αποτίμηση των αποθεμάτων, μη λειτουργικών/έκτακτων στοιχείων, της Συνεισφοράς Αλληλεγγύης, καθώς και του λογιστικού χειρισμού του ελλείματος δικαιωμάτων </w:t>
      </w:r>
      <w:r w:rsidRPr="00920E2C">
        <w:rPr>
          <w:rFonts w:ascii="Arial" w:hAnsi="Arial" w:cs="Arial"/>
          <w:i/>
          <w:iCs/>
          <w:sz w:val="16"/>
          <w:szCs w:val="16"/>
          <w:lang w:val="en-US"/>
        </w:rPr>
        <w:t>CO</w:t>
      </w:r>
      <w:r w:rsidRPr="00920E2C">
        <w:rPr>
          <w:rFonts w:ascii="Arial" w:hAnsi="Arial" w:cs="Arial"/>
          <w:i/>
          <w:iCs/>
          <w:sz w:val="16"/>
          <w:szCs w:val="16"/>
          <w:vertAlign w:val="subscript"/>
        </w:rPr>
        <w:t>2</w:t>
      </w:r>
    </w:p>
    <w:p w14:paraId="1D20740C" w14:textId="77777777" w:rsidR="00366699" w:rsidRPr="00920E2C" w:rsidRDefault="00366699" w:rsidP="00366699">
      <w:pPr>
        <w:spacing w:before="120" w:after="120" w:line="360" w:lineRule="auto"/>
        <w:ind w:right="187"/>
        <w:rPr>
          <w:rFonts w:ascii="Arial" w:hAnsi="Arial" w:cs="Arial"/>
          <w:i/>
          <w:iCs/>
          <w:sz w:val="16"/>
          <w:szCs w:val="16"/>
        </w:rPr>
      </w:pPr>
      <w:r w:rsidRPr="00920E2C">
        <w:rPr>
          <w:rFonts w:ascii="Arial" w:hAnsi="Arial" w:cs="Arial"/>
          <w:i/>
          <w:iCs/>
          <w:sz w:val="16"/>
          <w:szCs w:val="16"/>
        </w:rPr>
        <w:t>Σημείωση 2: π.μ.: ποσοστιαίες μονάδες</w:t>
      </w:r>
    </w:p>
    <w:p w14:paraId="0110B346" w14:textId="77777777" w:rsidR="00366699" w:rsidRPr="00920E2C" w:rsidRDefault="00366699" w:rsidP="00366699">
      <w:pPr>
        <w:spacing w:line="360" w:lineRule="auto"/>
        <w:jc w:val="both"/>
        <w:outlineLvl w:val="0"/>
        <w:rPr>
          <w:rFonts w:ascii="The Wave Sans TT" w:hAnsi="The Wave Sans TT" w:cs="Arial"/>
          <w:b/>
          <w:bCs/>
          <w:sz w:val="20"/>
          <w:szCs w:val="18"/>
        </w:rPr>
      </w:pPr>
    </w:p>
    <w:p w14:paraId="78BA3FC5" w14:textId="77777777" w:rsidR="00366699" w:rsidRPr="00920E2C" w:rsidRDefault="00366699" w:rsidP="00366699">
      <w:pPr>
        <w:spacing w:line="360" w:lineRule="auto"/>
        <w:jc w:val="both"/>
        <w:outlineLvl w:val="0"/>
        <w:rPr>
          <w:rFonts w:ascii="The Wave Sans TT" w:hAnsi="The Wave Sans TT" w:cs="Arial"/>
          <w:b/>
          <w:bCs/>
          <w:sz w:val="20"/>
          <w:szCs w:val="18"/>
        </w:rPr>
      </w:pPr>
      <w:r w:rsidRPr="00920E2C">
        <w:rPr>
          <w:rFonts w:ascii="The Wave Sans TT" w:hAnsi="The Wave Sans TT" w:cs="Arial"/>
          <w:b/>
          <w:bCs/>
          <w:sz w:val="20"/>
          <w:szCs w:val="18"/>
        </w:rPr>
        <w:t>Περισσότερες πληροφορίες:</w:t>
      </w:r>
    </w:p>
    <w:p w14:paraId="1C2D6361" w14:textId="77777777" w:rsidR="00366699" w:rsidRPr="00920E2C" w:rsidRDefault="00366699" w:rsidP="00366699">
      <w:pPr>
        <w:spacing w:line="360" w:lineRule="auto"/>
        <w:rPr>
          <w:rFonts w:ascii="The Wave Sans TT" w:hAnsi="The Wave Sans TT" w:cs="Arial"/>
          <w:sz w:val="20"/>
          <w:szCs w:val="18"/>
        </w:rPr>
      </w:pPr>
      <w:r w:rsidRPr="00920E2C">
        <w:rPr>
          <w:rFonts w:ascii="The Wave Sans TT" w:hAnsi="The Wave Sans TT" w:cs="Arial"/>
          <w:sz w:val="20"/>
          <w:szCs w:val="18"/>
        </w:rPr>
        <w:t xml:space="preserve">Ν. </w:t>
      </w:r>
      <w:proofErr w:type="spellStart"/>
      <w:r w:rsidRPr="00920E2C">
        <w:rPr>
          <w:rFonts w:ascii="The Wave Sans TT" w:hAnsi="The Wave Sans TT" w:cs="Arial"/>
          <w:sz w:val="20"/>
          <w:szCs w:val="18"/>
        </w:rPr>
        <w:t>Κάτσενος</w:t>
      </w:r>
      <w:proofErr w:type="spellEnd"/>
      <w:r w:rsidRPr="00920E2C">
        <w:rPr>
          <w:rFonts w:ascii="The Wave Sans TT" w:hAnsi="The Wave Sans TT" w:cs="Arial"/>
          <w:sz w:val="20"/>
          <w:szCs w:val="18"/>
        </w:rPr>
        <w:t>, Διευθυντής Σχέσεων με Επενδυτές</w:t>
      </w:r>
    </w:p>
    <w:p w14:paraId="144A342B" w14:textId="77777777" w:rsidR="00366699" w:rsidRPr="00920E2C" w:rsidRDefault="00366699" w:rsidP="00366699">
      <w:pPr>
        <w:widowControl w:val="0"/>
        <w:adjustRightInd w:val="0"/>
        <w:snapToGrid w:val="0"/>
        <w:spacing w:after="0" w:line="360" w:lineRule="auto"/>
        <w:jc w:val="both"/>
        <w:textAlignment w:val="baseline"/>
        <w:rPr>
          <w:rFonts w:ascii="The Wave Sans TT" w:eastAsia="MS Mincho" w:hAnsi="The Wave Sans TT" w:cs="Arial"/>
          <w:snapToGrid w:val="0"/>
          <w:sz w:val="20"/>
          <w:szCs w:val="18"/>
          <w:lang w:val="en-US" w:eastAsia="ja-JP"/>
        </w:rPr>
      </w:pPr>
      <w:proofErr w:type="spellStart"/>
      <w:r w:rsidRPr="00920E2C">
        <w:rPr>
          <w:rFonts w:ascii="The Wave Sans TT" w:eastAsia="MS Mincho" w:hAnsi="The Wave Sans TT" w:cs="Arial"/>
          <w:snapToGrid w:val="0"/>
          <w:sz w:val="20"/>
          <w:szCs w:val="18"/>
          <w:lang w:eastAsia="ja-JP"/>
        </w:rPr>
        <w:t>Τηλ</w:t>
      </w:r>
      <w:proofErr w:type="spellEnd"/>
      <w:r w:rsidRPr="00920E2C">
        <w:rPr>
          <w:rFonts w:ascii="The Wave Sans TT" w:eastAsia="MS Mincho" w:hAnsi="The Wave Sans TT" w:cs="Arial"/>
          <w:snapToGrid w:val="0"/>
          <w:sz w:val="20"/>
          <w:szCs w:val="18"/>
          <w:lang w:val="en-US" w:eastAsia="ja-JP"/>
        </w:rPr>
        <w:t>.: 210-6302305</w:t>
      </w:r>
    </w:p>
    <w:p w14:paraId="7DC0045F" w14:textId="77777777" w:rsidR="00366699" w:rsidRPr="00920E2C" w:rsidRDefault="00366699" w:rsidP="00366699">
      <w:pPr>
        <w:widowControl w:val="0"/>
        <w:tabs>
          <w:tab w:val="left" w:pos="720"/>
          <w:tab w:val="left" w:pos="1440"/>
          <w:tab w:val="left" w:pos="2160"/>
          <w:tab w:val="left" w:pos="6030"/>
        </w:tabs>
        <w:adjustRightInd w:val="0"/>
        <w:snapToGrid w:val="0"/>
        <w:spacing w:after="0" w:line="360" w:lineRule="auto"/>
        <w:jc w:val="both"/>
        <w:textAlignment w:val="baseline"/>
        <w:rPr>
          <w:rFonts w:ascii="Arial" w:eastAsia="PMingLiU" w:hAnsi="Arial" w:cs="Arial"/>
          <w:snapToGrid w:val="0"/>
          <w:lang w:eastAsia="ja-JP"/>
        </w:rPr>
      </w:pPr>
      <w:bookmarkStart w:id="2" w:name="_Hlk117170893"/>
      <w:r w:rsidRPr="00920E2C">
        <w:rPr>
          <w:rFonts w:ascii="The Wave Sans TT" w:eastAsia="MS Mincho" w:hAnsi="The Wave Sans TT" w:cs="Arial"/>
          <w:snapToGrid w:val="0"/>
          <w:sz w:val="20"/>
          <w:szCs w:val="18"/>
          <w:lang w:val="en-US" w:eastAsia="ja-JP"/>
        </w:rPr>
        <w:t>Email:</w:t>
      </w:r>
      <w:r w:rsidRPr="00920E2C" w:rsidDel="00274BAD">
        <w:rPr>
          <w:rFonts w:ascii="The Wave Sans TT" w:eastAsia="PMingLiU" w:hAnsi="The Wave Sans TT" w:cs="Arial"/>
          <w:snapToGrid w:val="0"/>
          <w:lang w:val="en-US" w:eastAsia="ja-JP"/>
        </w:rPr>
        <w:t xml:space="preserve"> </w:t>
      </w:r>
      <w:hyperlink r:id="rId8" w:history="1">
        <w:r w:rsidRPr="00920E2C">
          <w:rPr>
            <w:rFonts w:ascii="The Wave Sans TT" w:eastAsia="PMingLiU" w:hAnsi="The Wave Sans TT" w:cs="Arial"/>
            <w:snapToGrid w:val="0"/>
            <w:color w:val="0000FF"/>
            <w:sz w:val="20"/>
            <w:u w:val="single"/>
            <w:lang w:val="en-US" w:eastAsia="ja-JP"/>
          </w:rPr>
          <w:t>nkatsenos@helleniq.gr</w:t>
        </w:r>
      </w:hyperlink>
      <w:bookmarkEnd w:id="2"/>
    </w:p>
    <w:p w14:paraId="4A74BDE7" w14:textId="77777777" w:rsidR="00366699" w:rsidRPr="00920E2C" w:rsidRDefault="00366699" w:rsidP="00366699">
      <w:pPr>
        <w:spacing w:after="120" w:line="360" w:lineRule="auto"/>
        <w:jc w:val="center"/>
        <w:rPr>
          <w:rFonts w:ascii="The Wave Sans TT" w:hAnsi="The Wave Sans TT" w:cs="Calibri"/>
          <w:b/>
          <w:sz w:val="28"/>
        </w:rPr>
      </w:pPr>
    </w:p>
    <w:p w14:paraId="7BA61776" w14:textId="77777777" w:rsidR="00366699" w:rsidRDefault="00366699" w:rsidP="00366699"/>
    <w:p w14:paraId="2AFEE80C" w14:textId="77777777" w:rsidR="008636BA" w:rsidRPr="00366699" w:rsidRDefault="008636BA" w:rsidP="00366699"/>
    <w:sectPr w:rsidR="008636BA" w:rsidRPr="00366699" w:rsidSect="00240126">
      <w:headerReference w:type="default" r:id="rId9"/>
      <w:footerReference w:type="even" r:id="rId10"/>
      <w:footerReference w:type="default" r:id="rId11"/>
      <w:pgSz w:w="11900" w:h="16840"/>
      <w:pgMar w:top="1985" w:right="1835"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6EF6" w14:textId="77777777" w:rsidR="00E33FAB" w:rsidRDefault="00E33FAB" w:rsidP="008968B8">
      <w:pPr>
        <w:spacing w:after="0" w:line="240" w:lineRule="auto"/>
      </w:pPr>
      <w:r>
        <w:separator/>
      </w:r>
    </w:p>
  </w:endnote>
  <w:endnote w:type="continuationSeparator" w:id="0">
    <w:p w14:paraId="1E87120B" w14:textId="77777777" w:rsidR="00E33FAB" w:rsidRDefault="00E33FAB" w:rsidP="0089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he Wave Sans TT">
    <w:altName w:val="Calibri"/>
    <w:panose1 w:val="00000500000000000000"/>
    <w:charset w:val="A1"/>
    <w:family w:val="auto"/>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he Wave Sans">
    <w:altName w:val="Courier New"/>
    <w:panose1 w:val="00000000000000000000"/>
    <w:charset w:val="00"/>
    <w:family w:val="auto"/>
    <w:notTrueType/>
    <w:pitch w:val="variable"/>
    <w:sig w:usb0="00000287" w:usb1="00000001"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F723" w14:textId="77777777" w:rsidR="004C53D7" w:rsidRDefault="004C53D7" w:rsidP="002E30AA">
    <w:pPr>
      <w:pStyle w:val="Footer"/>
      <w:framePr w:wrap="none" w:vAnchor="page" w:hAnchor="page" w:yAlign="center"/>
      <w:rPr>
        <w:rStyle w:val="PageNumber"/>
      </w:rPr>
    </w:pPr>
    <w:r>
      <w:rPr>
        <w:rStyle w:val="PageNumber"/>
      </w:rPr>
      <w:fldChar w:fldCharType="begin"/>
    </w:r>
    <w:r>
      <w:rPr>
        <w:rStyle w:val="PageNumber"/>
      </w:rPr>
      <w:instrText xml:space="preserve"> PAGE </w:instrText>
    </w:r>
    <w:r>
      <w:rPr>
        <w:rStyle w:val="PageNumber"/>
      </w:rPr>
      <w:fldChar w:fldCharType="end"/>
    </w:r>
  </w:p>
  <w:p w14:paraId="7F52D87F" w14:textId="77777777" w:rsidR="004C53D7" w:rsidRDefault="004C53D7" w:rsidP="005B66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CA25" w14:textId="77777777" w:rsidR="004C53D7" w:rsidRDefault="004C53D7" w:rsidP="007051C6">
    <w:pPr>
      <w:pStyle w:val="Footer"/>
      <w:framePr w:wrap="none" w:vAnchor="page" w:hAnchor="page" w:yAlign="center"/>
      <w:rPr>
        <w:rStyle w:val="PageNumber"/>
      </w:rPr>
    </w:pPr>
  </w:p>
  <w:p w14:paraId="67C8FAC1" w14:textId="77777777" w:rsidR="004C53D7" w:rsidRDefault="004C53D7" w:rsidP="002E30AA">
    <w:pPr>
      <w:pStyle w:val="Footer"/>
      <w:ind w:firstLine="360"/>
    </w:pPr>
    <w:r>
      <w:rPr>
        <w:noProof/>
        <w:lang w:eastAsia="el-GR"/>
      </w:rPr>
      <w:drawing>
        <wp:anchor distT="0" distB="0" distL="114300" distR="114300" simplePos="0" relativeHeight="251657728" behindDoc="1" locked="0" layoutInCell="1" allowOverlap="1" wp14:anchorId="363D2E34" wp14:editId="64224CF1">
          <wp:simplePos x="0" y="0"/>
          <wp:positionH relativeFrom="column">
            <wp:posOffset>-986155</wp:posOffset>
          </wp:positionH>
          <wp:positionV relativeFrom="paragraph">
            <wp:posOffset>-1155065</wp:posOffset>
          </wp:positionV>
          <wp:extent cx="7645400" cy="1940560"/>
          <wp:effectExtent l="0" t="0" r="0" b="0"/>
          <wp:wrapNone/>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94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8AE22" w14:textId="77777777" w:rsidR="004C53D7" w:rsidRDefault="004C53D7" w:rsidP="005B664A">
    <w:pPr>
      <w:pStyle w:val="Footer"/>
      <w:ind w:firstLine="360"/>
    </w:pPr>
    <w:r>
      <w:rPr>
        <w:noProof/>
        <w:lang w:eastAsia="el-GR"/>
      </w:rPr>
      <mc:AlternateContent>
        <mc:Choice Requires="wps">
          <w:drawing>
            <wp:anchor distT="0" distB="0" distL="114300" distR="114300" simplePos="0" relativeHeight="251658752" behindDoc="0" locked="0" layoutInCell="1" allowOverlap="1" wp14:anchorId="12EEA168" wp14:editId="67B2BCD0">
              <wp:simplePos x="0" y="0"/>
              <wp:positionH relativeFrom="column">
                <wp:posOffset>220345</wp:posOffset>
              </wp:positionH>
              <wp:positionV relativeFrom="paragraph">
                <wp:posOffset>168275</wp:posOffset>
              </wp:positionV>
              <wp:extent cx="2979420" cy="2978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297815"/>
                      </a:xfrm>
                      <a:prstGeom prst="rect">
                        <a:avLst/>
                      </a:prstGeom>
                      <a:noFill/>
                      <a:ln w="6350">
                        <a:noFill/>
                      </a:ln>
                    </wps:spPr>
                    <wps:txbx>
                      <w:txbxContent>
                        <w:p w14:paraId="4F0273F1" w14:textId="77777777" w:rsidR="004C53D7" w:rsidRPr="008636BA" w:rsidRDefault="004C53D7" w:rsidP="004D346D">
                          <w:pPr>
                            <w:rPr>
                              <w:rFonts w:ascii="The Wave Sans" w:hAnsi="The Wave Sans"/>
                              <w:color w:val="FFFFFF"/>
                              <w:sz w:val="24"/>
                              <w:szCs w:val="24"/>
                            </w:rPr>
                          </w:pPr>
                          <w:r w:rsidRPr="008636BA">
                            <w:rPr>
                              <w:rFonts w:ascii="The Wave Sans" w:eastAsia="Times New Roman" w:hAnsi="The Wave Sans"/>
                              <w:b/>
                              <w:bCs/>
                              <w:color w:val="FFFFFF"/>
                              <w:sz w:val="24"/>
                              <w:szCs w:val="24"/>
                              <w:lang w:val="en-US" w:eastAsia="zh-TW" w:bidi="he-IL"/>
                            </w:rPr>
                            <w:t>Empowering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EA168" id="_x0000_t202" coordsize="21600,21600" o:spt="202" path="m,l,21600r21600,l21600,xe">
              <v:stroke joinstyle="miter"/>
              <v:path gradientshapeok="t" o:connecttype="rect"/>
            </v:shapetype>
            <v:shape id="Textfeld 1" o:spid="_x0000_s1026" type="#_x0000_t202" style="position:absolute;left:0;text-align:left;margin-left:17.35pt;margin-top:13.25pt;width:234.6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" filled="f" stroked="f" strokeweight=".5pt">
              <v:path arrowok="t"/>
              <v:textbox>
                <w:txbxContent>
                  <w:p w14:paraId="4F0273F1" w14:textId="77777777" w:rsidR="004C53D7" w:rsidRPr="008636BA" w:rsidRDefault="004C53D7" w:rsidP="004D346D">
                    <w:pPr>
                      <w:rPr>
                        <w:rFonts w:ascii="The Wave Sans" w:hAnsi="The Wave Sans"/>
                        <w:color w:val="FFFFFF"/>
                        <w:sz w:val="24"/>
                        <w:szCs w:val="24"/>
                      </w:rPr>
                    </w:pPr>
                    <w:r w:rsidRPr="008636BA">
                      <w:rPr>
                        <w:rFonts w:ascii="The Wave Sans" w:eastAsia="Times New Roman" w:hAnsi="The Wave Sans"/>
                        <w:b/>
                        <w:bCs/>
                        <w:color w:val="FFFFFF"/>
                        <w:sz w:val="24"/>
                        <w:szCs w:val="24"/>
                        <w:lang w:val="en-US" w:eastAsia="zh-TW" w:bidi="he-IL"/>
                      </w:rPr>
                      <w:t>Empowering Tomorrow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770B" w14:textId="77777777" w:rsidR="00E33FAB" w:rsidRDefault="00E33FAB" w:rsidP="008968B8">
      <w:pPr>
        <w:spacing w:after="0" w:line="240" w:lineRule="auto"/>
      </w:pPr>
      <w:r>
        <w:separator/>
      </w:r>
    </w:p>
  </w:footnote>
  <w:footnote w:type="continuationSeparator" w:id="0">
    <w:p w14:paraId="51454D02" w14:textId="77777777" w:rsidR="00E33FAB" w:rsidRDefault="00E33FAB" w:rsidP="0089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B156" w14:textId="77777777" w:rsidR="004C53D7" w:rsidRDefault="004C53D7">
    <w:pPr>
      <w:pStyle w:val="Header"/>
    </w:pPr>
    <w:r>
      <w:rPr>
        <w:noProof/>
        <w:lang w:eastAsia="el-GR"/>
      </w:rPr>
      <w:drawing>
        <wp:anchor distT="0" distB="0" distL="114300" distR="114300" simplePos="0" relativeHeight="251656704" behindDoc="1" locked="0" layoutInCell="1" allowOverlap="1" wp14:anchorId="40A78F63" wp14:editId="77348E1F">
          <wp:simplePos x="0" y="0"/>
          <wp:positionH relativeFrom="column">
            <wp:posOffset>-315595</wp:posOffset>
          </wp:positionH>
          <wp:positionV relativeFrom="page">
            <wp:posOffset>546100</wp:posOffset>
          </wp:positionV>
          <wp:extent cx="1985645" cy="571500"/>
          <wp:effectExtent l="0" t="0" r="0" b="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C1CBD" w14:textId="77777777" w:rsidR="004C53D7" w:rsidRDefault="004C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68F"/>
    <w:multiLevelType w:val="hybridMultilevel"/>
    <w:tmpl w:val="0C58CD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7472C7"/>
    <w:multiLevelType w:val="hybridMultilevel"/>
    <w:tmpl w:val="21FE7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4B53E0"/>
    <w:multiLevelType w:val="hybridMultilevel"/>
    <w:tmpl w:val="0CC8BE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5A363A"/>
    <w:multiLevelType w:val="hybridMultilevel"/>
    <w:tmpl w:val="358477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6D0FC4"/>
    <w:multiLevelType w:val="hybridMultilevel"/>
    <w:tmpl w:val="0EF07F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A7450E"/>
    <w:multiLevelType w:val="hybridMultilevel"/>
    <w:tmpl w:val="D08AE5AE"/>
    <w:lvl w:ilvl="0" w:tplc="C64E5406">
      <w:numFmt w:val="bullet"/>
      <w:lvlText w:val="-"/>
      <w:lvlJc w:val="left"/>
      <w:pPr>
        <w:ind w:left="709" w:hanging="360"/>
      </w:pPr>
      <w:rPr>
        <w:rFonts w:ascii="Arial" w:eastAsia="PMingLiU" w:hAnsi="Arial" w:cs="Aria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6" w15:restartNumberingAfterBreak="0">
    <w:nsid w:val="70CE6793"/>
    <w:multiLevelType w:val="hybridMultilevel"/>
    <w:tmpl w:val="5D6A3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521B0C"/>
    <w:multiLevelType w:val="hybridMultilevel"/>
    <w:tmpl w:val="B8DC52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7"/>
    <w:rsid w:val="00006473"/>
    <w:rsid w:val="000151DA"/>
    <w:rsid w:val="00023818"/>
    <w:rsid w:val="000251C3"/>
    <w:rsid w:val="000316C0"/>
    <w:rsid w:val="000358AC"/>
    <w:rsid w:val="00041E07"/>
    <w:rsid w:val="0006399E"/>
    <w:rsid w:val="000807B6"/>
    <w:rsid w:val="00095EF6"/>
    <w:rsid w:val="000B676C"/>
    <w:rsid w:val="000C42FA"/>
    <w:rsid w:val="000D258A"/>
    <w:rsid w:val="000E269A"/>
    <w:rsid w:val="000E5E24"/>
    <w:rsid w:val="000F3A96"/>
    <w:rsid w:val="000F4042"/>
    <w:rsid w:val="001161BE"/>
    <w:rsid w:val="00130927"/>
    <w:rsid w:val="00134A22"/>
    <w:rsid w:val="0015511A"/>
    <w:rsid w:val="0016232F"/>
    <w:rsid w:val="001E1A8E"/>
    <w:rsid w:val="001E28DF"/>
    <w:rsid w:val="001F2391"/>
    <w:rsid w:val="002157F7"/>
    <w:rsid w:val="002225E4"/>
    <w:rsid w:val="00223E5E"/>
    <w:rsid w:val="00240126"/>
    <w:rsid w:val="00260A35"/>
    <w:rsid w:val="00290038"/>
    <w:rsid w:val="00291CF8"/>
    <w:rsid w:val="00292EB3"/>
    <w:rsid w:val="0029475D"/>
    <w:rsid w:val="002A2D85"/>
    <w:rsid w:val="002B06A3"/>
    <w:rsid w:val="002B7C6C"/>
    <w:rsid w:val="002C0BA5"/>
    <w:rsid w:val="002D709C"/>
    <w:rsid w:val="002D757D"/>
    <w:rsid w:val="002E30AA"/>
    <w:rsid w:val="002F19C3"/>
    <w:rsid w:val="002F2D85"/>
    <w:rsid w:val="00305530"/>
    <w:rsid w:val="003075E1"/>
    <w:rsid w:val="00311F3F"/>
    <w:rsid w:val="00332A99"/>
    <w:rsid w:val="00341C43"/>
    <w:rsid w:val="00366699"/>
    <w:rsid w:val="003A1B6D"/>
    <w:rsid w:val="003C0553"/>
    <w:rsid w:val="003D348D"/>
    <w:rsid w:val="003D71D4"/>
    <w:rsid w:val="003E187D"/>
    <w:rsid w:val="00416EDC"/>
    <w:rsid w:val="004241C0"/>
    <w:rsid w:val="00427D87"/>
    <w:rsid w:val="0044478D"/>
    <w:rsid w:val="00464EEB"/>
    <w:rsid w:val="004717A5"/>
    <w:rsid w:val="004B1DF5"/>
    <w:rsid w:val="004C53D7"/>
    <w:rsid w:val="004D2F4D"/>
    <w:rsid w:val="004D346D"/>
    <w:rsid w:val="004F1C9A"/>
    <w:rsid w:val="005022C3"/>
    <w:rsid w:val="00502D16"/>
    <w:rsid w:val="00502DF2"/>
    <w:rsid w:val="005060B2"/>
    <w:rsid w:val="005147BC"/>
    <w:rsid w:val="005175F2"/>
    <w:rsid w:val="00536027"/>
    <w:rsid w:val="00541498"/>
    <w:rsid w:val="00542787"/>
    <w:rsid w:val="0058285A"/>
    <w:rsid w:val="005A414D"/>
    <w:rsid w:val="005B0661"/>
    <w:rsid w:val="005B664A"/>
    <w:rsid w:val="005C6E51"/>
    <w:rsid w:val="005F5F24"/>
    <w:rsid w:val="005F6E26"/>
    <w:rsid w:val="00620D4A"/>
    <w:rsid w:val="00635E5A"/>
    <w:rsid w:val="00641E8A"/>
    <w:rsid w:val="006515C0"/>
    <w:rsid w:val="006639CF"/>
    <w:rsid w:val="006662EE"/>
    <w:rsid w:val="0067104A"/>
    <w:rsid w:val="00673FA0"/>
    <w:rsid w:val="00673FDB"/>
    <w:rsid w:val="00682B1E"/>
    <w:rsid w:val="00686363"/>
    <w:rsid w:val="006A6ACE"/>
    <w:rsid w:val="006D2A62"/>
    <w:rsid w:val="006D623C"/>
    <w:rsid w:val="006E6EB5"/>
    <w:rsid w:val="006F5967"/>
    <w:rsid w:val="007051C6"/>
    <w:rsid w:val="00710BAD"/>
    <w:rsid w:val="00712FB6"/>
    <w:rsid w:val="00752F0C"/>
    <w:rsid w:val="00763366"/>
    <w:rsid w:val="007769FF"/>
    <w:rsid w:val="007A0193"/>
    <w:rsid w:val="007A07F8"/>
    <w:rsid w:val="007A27B8"/>
    <w:rsid w:val="007B1109"/>
    <w:rsid w:val="007B4B75"/>
    <w:rsid w:val="007C2229"/>
    <w:rsid w:val="008008E5"/>
    <w:rsid w:val="008045E5"/>
    <w:rsid w:val="008636BA"/>
    <w:rsid w:val="008642C2"/>
    <w:rsid w:val="008724FA"/>
    <w:rsid w:val="00876E5A"/>
    <w:rsid w:val="00893850"/>
    <w:rsid w:val="00895B0E"/>
    <w:rsid w:val="00896144"/>
    <w:rsid w:val="008968B8"/>
    <w:rsid w:val="008A1668"/>
    <w:rsid w:val="008A6786"/>
    <w:rsid w:val="008B4833"/>
    <w:rsid w:val="008B76A0"/>
    <w:rsid w:val="008D0D9F"/>
    <w:rsid w:val="008E1F6A"/>
    <w:rsid w:val="008F69F3"/>
    <w:rsid w:val="008F7460"/>
    <w:rsid w:val="009053C5"/>
    <w:rsid w:val="00924A2D"/>
    <w:rsid w:val="009260FC"/>
    <w:rsid w:val="00927621"/>
    <w:rsid w:val="00953FEE"/>
    <w:rsid w:val="00961602"/>
    <w:rsid w:val="00966FA2"/>
    <w:rsid w:val="00972DA3"/>
    <w:rsid w:val="00977B01"/>
    <w:rsid w:val="009871E7"/>
    <w:rsid w:val="00991050"/>
    <w:rsid w:val="00997AC8"/>
    <w:rsid w:val="009A63B8"/>
    <w:rsid w:val="009C2BC7"/>
    <w:rsid w:val="009C4619"/>
    <w:rsid w:val="00A03ED8"/>
    <w:rsid w:val="00A42A32"/>
    <w:rsid w:val="00A44984"/>
    <w:rsid w:val="00A57057"/>
    <w:rsid w:val="00A954CA"/>
    <w:rsid w:val="00AA1C73"/>
    <w:rsid w:val="00AB7A68"/>
    <w:rsid w:val="00AD0AD5"/>
    <w:rsid w:val="00AE2133"/>
    <w:rsid w:val="00AE32BD"/>
    <w:rsid w:val="00AE46D0"/>
    <w:rsid w:val="00AF1A65"/>
    <w:rsid w:val="00B146AC"/>
    <w:rsid w:val="00B333BE"/>
    <w:rsid w:val="00B62437"/>
    <w:rsid w:val="00BB592B"/>
    <w:rsid w:val="00BB6B9D"/>
    <w:rsid w:val="00BC3F1D"/>
    <w:rsid w:val="00C0247F"/>
    <w:rsid w:val="00C13B9D"/>
    <w:rsid w:val="00C1635B"/>
    <w:rsid w:val="00C22120"/>
    <w:rsid w:val="00C40764"/>
    <w:rsid w:val="00C6298C"/>
    <w:rsid w:val="00C66928"/>
    <w:rsid w:val="00C758FC"/>
    <w:rsid w:val="00C80580"/>
    <w:rsid w:val="00C818AB"/>
    <w:rsid w:val="00C90C5C"/>
    <w:rsid w:val="00C92903"/>
    <w:rsid w:val="00C936F4"/>
    <w:rsid w:val="00CB55CB"/>
    <w:rsid w:val="00D52C19"/>
    <w:rsid w:val="00D6178D"/>
    <w:rsid w:val="00D61887"/>
    <w:rsid w:val="00D65A12"/>
    <w:rsid w:val="00D7130F"/>
    <w:rsid w:val="00D71B3C"/>
    <w:rsid w:val="00D843F0"/>
    <w:rsid w:val="00DC2D44"/>
    <w:rsid w:val="00DC5293"/>
    <w:rsid w:val="00DD3FCB"/>
    <w:rsid w:val="00E1131D"/>
    <w:rsid w:val="00E33FAB"/>
    <w:rsid w:val="00E4699D"/>
    <w:rsid w:val="00E51600"/>
    <w:rsid w:val="00E62C9B"/>
    <w:rsid w:val="00E77C8C"/>
    <w:rsid w:val="00E918E3"/>
    <w:rsid w:val="00E93E1D"/>
    <w:rsid w:val="00EC79DB"/>
    <w:rsid w:val="00ED0371"/>
    <w:rsid w:val="00F4553E"/>
    <w:rsid w:val="00F5787F"/>
    <w:rsid w:val="00F632BD"/>
    <w:rsid w:val="00FC1077"/>
    <w:rsid w:val="00FC7740"/>
    <w:rsid w:val="00FE293D"/>
    <w:rsid w:val="00FE65B4"/>
    <w:rsid w:val="00FF0E44"/>
    <w:rsid w:val="00FF6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09E6"/>
  <w15:chartTrackingRefBased/>
  <w15:docId w15:val="{5A93B159-A231-45A1-807D-FF3254D1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8D"/>
    <w:pPr>
      <w:spacing w:after="200" w:line="276" w:lineRule="auto"/>
    </w:pPr>
    <w:rPr>
      <w:rFonts w:eastAsia="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8B8"/>
    <w:pPr>
      <w:tabs>
        <w:tab w:val="center" w:pos="4536"/>
        <w:tab w:val="right" w:pos="9072"/>
      </w:tabs>
      <w:spacing w:after="0" w:line="240" w:lineRule="auto"/>
    </w:pPr>
  </w:style>
  <w:style w:type="character" w:customStyle="1" w:styleId="HeaderChar">
    <w:name w:val="Header Char"/>
    <w:link w:val="Header"/>
    <w:uiPriority w:val="99"/>
    <w:rsid w:val="008968B8"/>
    <w:rPr>
      <w:rFonts w:ascii="Calibri" w:eastAsia="Calibri" w:hAnsi="Calibri" w:cs="Times New Roman"/>
      <w:sz w:val="22"/>
      <w:szCs w:val="22"/>
      <w:lang w:val="el-GR" w:eastAsia="en-US"/>
    </w:rPr>
  </w:style>
  <w:style w:type="paragraph" w:styleId="Footer">
    <w:name w:val="footer"/>
    <w:basedOn w:val="Normal"/>
    <w:link w:val="FooterChar"/>
    <w:uiPriority w:val="99"/>
    <w:unhideWhenUsed/>
    <w:rsid w:val="008968B8"/>
    <w:pPr>
      <w:tabs>
        <w:tab w:val="center" w:pos="4536"/>
        <w:tab w:val="right" w:pos="9072"/>
      </w:tabs>
      <w:spacing w:after="0" w:line="240" w:lineRule="auto"/>
    </w:pPr>
  </w:style>
  <w:style w:type="character" w:customStyle="1" w:styleId="FooterChar">
    <w:name w:val="Footer Char"/>
    <w:link w:val="Footer"/>
    <w:uiPriority w:val="99"/>
    <w:rsid w:val="008968B8"/>
    <w:rPr>
      <w:rFonts w:ascii="Calibri" w:eastAsia="Calibri" w:hAnsi="Calibri" w:cs="Times New Roman"/>
      <w:sz w:val="22"/>
      <w:szCs w:val="22"/>
      <w:lang w:val="el-GR" w:eastAsia="en-US"/>
    </w:rPr>
  </w:style>
  <w:style w:type="character" w:styleId="PageNumber">
    <w:name w:val="page number"/>
    <w:basedOn w:val="DefaultParagraphFont"/>
    <w:uiPriority w:val="99"/>
    <w:semiHidden/>
    <w:unhideWhenUsed/>
    <w:rsid w:val="005B664A"/>
  </w:style>
  <w:style w:type="character" w:styleId="Hyperlink">
    <w:name w:val="Hyperlink"/>
    <w:rsid w:val="005F5F24"/>
    <w:rPr>
      <w:color w:val="0000FF"/>
      <w:u w:val="single"/>
    </w:rPr>
  </w:style>
  <w:style w:type="paragraph" w:styleId="NormalWeb">
    <w:name w:val="Normal (Web)"/>
    <w:basedOn w:val="Normal"/>
    <w:uiPriority w:val="99"/>
    <w:rsid w:val="005F5F24"/>
    <w:pPr>
      <w:spacing w:before="100" w:beforeAutospacing="1" w:after="100" w:afterAutospacing="1" w:line="240" w:lineRule="auto"/>
    </w:pPr>
    <w:rPr>
      <w:rFonts w:ascii="Verdana" w:eastAsia="Times New Roman" w:hAnsi="Verdana"/>
      <w:color w:val="000000"/>
      <w:sz w:val="17"/>
      <w:szCs w:val="17"/>
      <w:lang w:val="en-US"/>
    </w:rPr>
  </w:style>
  <w:style w:type="character" w:customStyle="1" w:styleId="UnresolvedMention1">
    <w:name w:val="Unresolved Mention1"/>
    <w:uiPriority w:val="99"/>
    <w:semiHidden/>
    <w:unhideWhenUsed/>
    <w:rsid w:val="005F5F24"/>
    <w:rPr>
      <w:color w:val="605E5C"/>
      <w:shd w:val="clear" w:color="auto" w:fill="E1DFDD"/>
    </w:rPr>
  </w:style>
  <w:style w:type="paragraph" w:styleId="ListParagraph">
    <w:name w:val="List Paragraph"/>
    <w:basedOn w:val="Normal"/>
    <w:uiPriority w:val="34"/>
    <w:qFormat/>
    <w:rsid w:val="000B676C"/>
    <w:pPr>
      <w:spacing w:after="160" w:line="259" w:lineRule="auto"/>
      <w:ind w:left="720"/>
      <w:contextualSpacing/>
    </w:pPr>
    <w:rPr>
      <w:rFonts w:cs="Arial"/>
    </w:rPr>
  </w:style>
  <w:style w:type="character" w:customStyle="1" w:styleId="UnresolvedMention">
    <w:name w:val="Unresolved Mention"/>
    <w:uiPriority w:val="99"/>
    <w:semiHidden/>
    <w:unhideWhenUsed/>
    <w:rsid w:val="00260A35"/>
    <w:rPr>
      <w:color w:val="605E5C"/>
      <w:shd w:val="clear" w:color="auto" w:fill="E1DFDD"/>
    </w:rPr>
  </w:style>
  <w:style w:type="paragraph" w:customStyle="1" w:styleId="Default">
    <w:name w:val="Default"/>
    <w:rsid w:val="00953FEE"/>
    <w:pPr>
      <w:autoSpaceDE w:val="0"/>
      <w:autoSpaceDN w:val="0"/>
      <w:adjustRightInd w:val="0"/>
    </w:pPr>
    <w:rPr>
      <w:rFonts w:ascii="Arial" w:eastAsia="Times New Roman" w:hAnsi="Arial"/>
      <w:color w:val="000000"/>
      <w:sz w:val="24"/>
      <w:szCs w:val="24"/>
    </w:rPr>
  </w:style>
  <w:style w:type="paragraph" w:styleId="BlockText">
    <w:name w:val="Block Text"/>
    <w:basedOn w:val="Normal"/>
    <w:rsid w:val="007B1109"/>
    <w:pPr>
      <w:widowControl w:val="0"/>
      <w:adjustRightInd w:val="0"/>
      <w:spacing w:after="0" w:line="360" w:lineRule="atLeast"/>
      <w:ind w:left="709" w:right="-199" w:hanging="360"/>
      <w:jc w:val="both"/>
      <w:textAlignment w:val="baseline"/>
    </w:pPr>
    <w:rPr>
      <w:rFonts w:ascii="Arial" w:eastAsia="PMingLiU" w:hAnsi="Arial" w:cs="Arial"/>
      <w:snapToGrid w:val="0"/>
      <w:lang w:eastAsia="ja-JP"/>
    </w:rPr>
  </w:style>
  <w:style w:type="paragraph" w:styleId="BodyTextIndent">
    <w:name w:val="Body Text Indent"/>
    <w:basedOn w:val="Normal"/>
    <w:link w:val="BodyTextIndentChar"/>
    <w:rsid w:val="007B110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odyTextIndentChar">
    <w:name w:val="Body Text Indent Char"/>
    <w:basedOn w:val="DefaultParagraphFont"/>
    <w:link w:val="BodyTextIndent"/>
    <w:rsid w:val="007B110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69A"/>
    <w:rPr>
      <w:sz w:val="16"/>
      <w:szCs w:val="16"/>
    </w:rPr>
  </w:style>
  <w:style w:type="paragraph" w:styleId="CommentText">
    <w:name w:val="annotation text"/>
    <w:basedOn w:val="Normal"/>
    <w:link w:val="CommentTextChar"/>
    <w:uiPriority w:val="99"/>
    <w:semiHidden/>
    <w:unhideWhenUsed/>
    <w:rsid w:val="000E269A"/>
    <w:pPr>
      <w:spacing w:line="240" w:lineRule="auto"/>
    </w:pPr>
    <w:rPr>
      <w:sz w:val="20"/>
      <w:szCs w:val="20"/>
    </w:rPr>
  </w:style>
  <w:style w:type="character" w:customStyle="1" w:styleId="CommentTextChar">
    <w:name w:val="Comment Text Char"/>
    <w:basedOn w:val="DefaultParagraphFont"/>
    <w:link w:val="CommentText"/>
    <w:uiPriority w:val="99"/>
    <w:semiHidden/>
    <w:rsid w:val="000E269A"/>
    <w:rPr>
      <w:rFonts w:eastAsia="Calibri" w:cs="Times New Roman"/>
      <w:lang w:eastAsia="en-US"/>
    </w:rPr>
  </w:style>
  <w:style w:type="paragraph" w:styleId="CommentSubject">
    <w:name w:val="annotation subject"/>
    <w:basedOn w:val="CommentText"/>
    <w:next w:val="CommentText"/>
    <w:link w:val="CommentSubjectChar"/>
    <w:uiPriority w:val="99"/>
    <w:semiHidden/>
    <w:unhideWhenUsed/>
    <w:rsid w:val="000E269A"/>
    <w:rPr>
      <w:b/>
      <w:bCs/>
    </w:rPr>
  </w:style>
  <w:style w:type="character" w:customStyle="1" w:styleId="CommentSubjectChar">
    <w:name w:val="Comment Subject Char"/>
    <w:basedOn w:val="CommentTextChar"/>
    <w:link w:val="CommentSubject"/>
    <w:uiPriority w:val="99"/>
    <w:semiHidden/>
    <w:rsid w:val="000E269A"/>
    <w:rPr>
      <w:rFonts w:eastAsia="Calibri" w:cs="Times New Roman"/>
      <w:b/>
      <w:bCs/>
      <w:lang w:eastAsia="en-US"/>
    </w:rPr>
  </w:style>
  <w:style w:type="paragraph" w:styleId="BalloonText">
    <w:name w:val="Balloon Text"/>
    <w:basedOn w:val="Normal"/>
    <w:link w:val="BalloonTextChar"/>
    <w:uiPriority w:val="99"/>
    <w:semiHidden/>
    <w:unhideWhenUsed/>
    <w:rsid w:val="000E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69A"/>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1550">
      <w:bodyDiv w:val="1"/>
      <w:marLeft w:val="0"/>
      <w:marRight w:val="0"/>
      <w:marTop w:val="0"/>
      <w:marBottom w:val="0"/>
      <w:divBdr>
        <w:top w:val="none" w:sz="0" w:space="0" w:color="auto"/>
        <w:left w:val="none" w:sz="0" w:space="0" w:color="auto"/>
        <w:bottom w:val="none" w:sz="0" w:space="0" w:color="auto"/>
        <w:right w:val="none" w:sz="0" w:space="0" w:color="auto"/>
      </w:divBdr>
    </w:div>
    <w:div w:id="974526468">
      <w:bodyDiv w:val="1"/>
      <w:marLeft w:val="0"/>
      <w:marRight w:val="0"/>
      <w:marTop w:val="0"/>
      <w:marBottom w:val="0"/>
      <w:divBdr>
        <w:top w:val="none" w:sz="0" w:space="0" w:color="auto"/>
        <w:left w:val="none" w:sz="0" w:space="0" w:color="auto"/>
        <w:bottom w:val="none" w:sz="0" w:space="0" w:color="auto"/>
        <w:right w:val="none" w:sz="0" w:space="0" w:color="auto"/>
      </w:divBdr>
    </w:div>
    <w:div w:id="1691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tsenos@helleniq.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224C-0479-418D-9B4F-2D795567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2371</Words>
  <Characters>12804</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Ruttert</dc:creator>
  <cp:keywords/>
  <dc:description/>
  <cp:lastModifiedBy>Dimou Panagiotis</cp:lastModifiedBy>
  <cp:revision>5</cp:revision>
  <cp:lastPrinted>2022-11-10T14:56:00Z</cp:lastPrinted>
  <dcterms:created xsi:type="dcterms:W3CDTF">2023-02-24T14:47:00Z</dcterms:created>
  <dcterms:modified xsi:type="dcterms:W3CDTF">2023-02-24T15:02:00Z</dcterms:modified>
</cp:coreProperties>
</file>