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65FB7" w14:textId="77777777" w:rsidR="00DC500C" w:rsidRPr="00F45B74" w:rsidRDefault="00DC500C" w:rsidP="00DC500C">
      <w:pPr>
        <w:pStyle w:val="Body"/>
        <w:spacing w:line="276" w:lineRule="auto"/>
        <w:jc w:val="right"/>
        <w:rPr>
          <w:rFonts w:ascii="Eurobank Sans" w:hAnsi="Eurobank Sans"/>
          <w:color w:val="021342"/>
          <w:sz w:val="20"/>
          <w:szCs w:val="20"/>
        </w:rPr>
      </w:pPr>
    </w:p>
    <w:p w14:paraId="0201B3CD" w14:textId="77777777" w:rsidR="00DC500C" w:rsidRPr="00F45B74" w:rsidRDefault="00DC500C" w:rsidP="00F45B74">
      <w:pPr>
        <w:pStyle w:val="Body"/>
        <w:spacing w:line="276" w:lineRule="auto"/>
        <w:ind w:left="-709" w:right="-568"/>
        <w:jc w:val="right"/>
        <w:rPr>
          <w:rFonts w:ascii="Eurobank Sans" w:hAnsi="Eurobank Sans"/>
          <w:color w:val="021342"/>
          <w:sz w:val="20"/>
          <w:szCs w:val="20"/>
        </w:rPr>
      </w:pPr>
    </w:p>
    <w:p w14:paraId="70B21063" w14:textId="7BE90BDD" w:rsidR="00DC500C" w:rsidRPr="00F45B74" w:rsidRDefault="00DC500C" w:rsidP="00F45B74">
      <w:pPr>
        <w:pStyle w:val="Body"/>
        <w:spacing w:line="276" w:lineRule="auto"/>
        <w:ind w:left="-709" w:right="-568"/>
        <w:jc w:val="right"/>
        <w:rPr>
          <w:rFonts w:ascii="Eurobank Sans" w:hAnsi="Eurobank Sans"/>
          <w:color w:val="021342"/>
          <w:sz w:val="20"/>
          <w:szCs w:val="20"/>
        </w:rPr>
      </w:pPr>
      <w:r w:rsidRPr="00F45B74">
        <w:rPr>
          <w:rFonts w:ascii="Eurobank Sans" w:hAnsi="Eurobank Sans"/>
          <w:color w:val="021342"/>
          <w:sz w:val="20"/>
          <w:szCs w:val="20"/>
        </w:rPr>
        <w:t xml:space="preserve">Αθήνα, </w:t>
      </w:r>
      <w:r w:rsidR="00BF3AF4" w:rsidRPr="00F45B74">
        <w:rPr>
          <w:rFonts w:ascii="Eurobank Sans" w:hAnsi="Eurobank Sans"/>
          <w:color w:val="021342"/>
          <w:sz w:val="20"/>
          <w:szCs w:val="20"/>
        </w:rPr>
        <w:t>31 Ιανουαρίου 2023</w:t>
      </w:r>
    </w:p>
    <w:p w14:paraId="0FBAF184" w14:textId="11D00AAE" w:rsidR="00DC500C" w:rsidRPr="00F45B74" w:rsidRDefault="00DC500C" w:rsidP="00F45B74">
      <w:pPr>
        <w:pStyle w:val="Body"/>
        <w:spacing w:line="276" w:lineRule="auto"/>
        <w:ind w:left="-709" w:right="-568"/>
        <w:jc w:val="both"/>
        <w:rPr>
          <w:rFonts w:ascii="Eurobank Sans" w:hAnsi="Eurobank Sans"/>
          <w:color w:val="021342"/>
        </w:rPr>
      </w:pPr>
    </w:p>
    <w:p w14:paraId="753671C0" w14:textId="77777777" w:rsidR="00DC500C" w:rsidRPr="00F45B74" w:rsidRDefault="00DC500C" w:rsidP="00F45B74">
      <w:pPr>
        <w:pStyle w:val="Body"/>
        <w:spacing w:line="276" w:lineRule="auto"/>
        <w:ind w:left="-709" w:right="-568"/>
        <w:jc w:val="both"/>
        <w:rPr>
          <w:rFonts w:ascii="Eurobank Sans" w:hAnsi="Eurobank Sans"/>
          <w:color w:val="021342"/>
        </w:rPr>
      </w:pPr>
    </w:p>
    <w:p w14:paraId="091FC01F" w14:textId="2740A17C" w:rsidR="00F45B74" w:rsidRPr="00F45B74" w:rsidRDefault="00F45B74" w:rsidP="00F45B74">
      <w:pPr>
        <w:pStyle w:val="Body"/>
        <w:spacing w:line="276" w:lineRule="auto"/>
        <w:ind w:left="-709" w:right="-568"/>
        <w:jc w:val="center"/>
        <w:rPr>
          <w:rFonts w:ascii="Eurobank Sans" w:hAnsi="Eurobank Sans" w:cs="Calibri"/>
          <w:b/>
          <w:bCs/>
          <w:color w:val="021342"/>
          <w:sz w:val="28"/>
          <w:szCs w:val="28"/>
        </w:rPr>
      </w:pPr>
      <w:r w:rsidRPr="00F45B74">
        <w:rPr>
          <w:rFonts w:ascii="Eurobank Sans" w:hAnsi="Eurobank Sans" w:cs="Calibri"/>
          <w:b/>
          <w:bCs/>
          <w:color w:val="021342"/>
          <w:sz w:val="28"/>
          <w:szCs w:val="28"/>
        </w:rPr>
        <w:t>ΤΟ ΤΡΑΠΕΖΙΚΟ ΣΥΣΤΗΜΑ ΣΤΗΡΙΖΕΙ ΤΗΝ ΟΙΚΟΝΟΜΙΑ</w:t>
      </w:r>
    </w:p>
    <w:p w14:paraId="221A2D45" w14:textId="568D4B91" w:rsidR="00F45B74" w:rsidRPr="00F45B74" w:rsidRDefault="00F45B74" w:rsidP="00F45B74">
      <w:pPr>
        <w:pStyle w:val="Body"/>
        <w:spacing w:line="276" w:lineRule="auto"/>
        <w:ind w:left="-709" w:right="-568"/>
        <w:jc w:val="center"/>
        <w:rPr>
          <w:rFonts w:ascii="Eurobank Sans" w:hAnsi="Eurobank Sans" w:cs="Calibri"/>
          <w:color w:val="021342"/>
        </w:rPr>
      </w:pPr>
      <w:r w:rsidRPr="00F45B74">
        <w:rPr>
          <w:rFonts w:ascii="Eurobank Sans" w:hAnsi="Eurobank Sans" w:cs="Calibri"/>
          <w:color w:val="021342"/>
        </w:rPr>
        <w:t xml:space="preserve">ΠΙΣΤΩΤΙΚΗ ΕΠΕΚΤΑΣΗ €8,5 </w:t>
      </w:r>
      <w:r>
        <w:rPr>
          <w:rFonts w:ascii="Eurobank Sans" w:hAnsi="Eurobank Sans" w:cs="Calibri"/>
          <w:color w:val="021342"/>
        </w:rPr>
        <w:t>ΔΙΣ</w:t>
      </w:r>
      <w:r w:rsidRPr="00F45B74">
        <w:rPr>
          <w:rFonts w:ascii="Eurobank Sans" w:hAnsi="Eurobank Sans" w:cs="Calibri"/>
          <w:color w:val="021342"/>
        </w:rPr>
        <w:t>. ΤΟ 2022</w:t>
      </w:r>
    </w:p>
    <w:p w14:paraId="614778E5" w14:textId="77777777" w:rsidR="00F45B74" w:rsidRPr="00F45B74" w:rsidRDefault="00F45B74" w:rsidP="00F45B74">
      <w:pPr>
        <w:pStyle w:val="Body"/>
        <w:spacing w:line="276" w:lineRule="auto"/>
        <w:ind w:left="-709" w:right="-568"/>
        <w:jc w:val="center"/>
        <w:rPr>
          <w:rFonts w:ascii="Eurobank Sans" w:hAnsi="Eurobank Sans" w:cs="Calibri"/>
          <w:color w:val="021342"/>
        </w:rPr>
      </w:pPr>
      <w:r w:rsidRPr="00F45B74">
        <w:rPr>
          <w:rFonts w:ascii="Eurobank Sans" w:hAnsi="Eurobank Sans" w:cs="Calibri"/>
          <w:color w:val="021342"/>
        </w:rPr>
        <w:t>ΕΝΑΡΞΗ ΛΕΙΤΟΥΡΓΙΑΣ ΤΗΣ ΠΛΑΤΦΟΡΜΑΣ ΓΙΑ ΕΥΑΛΩΤΟΥΣ ΔΑΝΕΙΟΛΗΠΤΕΣ</w:t>
      </w:r>
    </w:p>
    <w:p w14:paraId="0DF5D850" w14:textId="77777777" w:rsidR="00F45B74" w:rsidRPr="00F45B74" w:rsidRDefault="00F45B74" w:rsidP="00F45B74">
      <w:pPr>
        <w:pStyle w:val="Body"/>
        <w:spacing w:line="276" w:lineRule="auto"/>
        <w:ind w:left="-709" w:right="-568"/>
        <w:rPr>
          <w:rFonts w:ascii="Eurobank Sans" w:hAnsi="Eurobank Sans" w:cs="Calibri"/>
          <w:color w:val="021342"/>
        </w:rPr>
      </w:pPr>
    </w:p>
    <w:p w14:paraId="2B7836DA" w14:textId="77777777" w:rsidR="00F45B74" w:rsidRPr="00F45B74" w:rsidRDefault="00F45B74" w:rsidP="00F45B74">
      <w:pPr>
        <w:pStyle w:val="Body"/>
        <w:spacing w:line="276" w:lineRule="auto"/>
        <w:ind w:left="-709" w:right="-568"/>
        <w:rPr>
          <w:rFonts w:ascii="Eurobank Sans" w:hAnsi="Eurobank Sans" w:cs="Calibri"/>
          <w:color w:val="021342"/>
        </w:rPr>
      </w:pPr>
    </w:p>
    <w:p w14:paraId="3DDD0F1B" w14:textId="546CEFD0" w:rsidR="00F45B74" w:rsidRPr="00F45B74" w:rsidRDefault="00F45B74" w:rsidP="00F45B74">
      <w:pPr>
        <w:pStyle w:val="Body"/>
        <w:spacing w:line="276" w:lineRule="auto"/>
        <w:ind w:left="-709" w:right="-568"/>
        <w:jc w:val="both"/>
        <w:rPr>
          <w:rFonts w:ascii="Eurobank Sans" w:hAnsi="Eurobank Sans" w:cs="Calibri"/>
          <w:color w:val="021342"/>
        </w:rPr>
      </w:pPr>
      <w:r w:rsidRPr="00F45B74">
        <w:rPr>
          <w:rFonts w:ascii="Eurobank Sans" w:hAnsi="Eurobank Sans" w:cs="Calibri"/>
          <w:color w:val="021342"/>
        </w:rPr>
        <w:t>Το ελληνικό τραπεζικό σύστημα υποστηρίζει ενεργά την αναπτυξιακή πορεία και το μετασχηματισμό της ελληνικής οικονομίας και, παράλληλα, στέκεται αρωγός των ελληνικών επιχειρήσεων και των νοικοκυριών</w:t>
      </w:r>
      <w:r>
        <w:rPr>
          <w:rFonts w:ascii="Eurobank Sans" w:hAnsi="Eurobank Sans" w:cs="Calibri"/>
          <w:color w:val="021342"/>
        </w:rPr>
        <w:t>,</w:t>
      </w:r>
      <w:r w:rsidRPr="00F45B74">
        <w:rPr>
          <w:rFonts w:ascii="Eurobank Sans" w:hAnsi="Eurobank Sans" w:cs="Calibri"/>
          <w:color w:val="021342"/>
        </w:rPr>
        <w:t xml:space="preserve"> τόσο για την υλοποίηση των σχεδίων τους όσο και για την αντιμετώπιση έκτακτων δυσκολιών.</w:t>
      </w:r>
    </w:p>
    <w:p w14:paraId="64994457" w14:textId="77777777" w:rsidR="00F45B74" w:rsidRPr="00F45B74" w:rsidRDefault="00F45B74" w:rsidP="00F45B74">
      <w:pPr>
        <w:pStyle w:val="Body"/>
        <w:spacing w:line="276" w:lineRule="auto"/>
        <w:ind w:left="-709" w:right="-568"/>
        <w:jc w:val="both"/>
        <w:rPr>
          <w:rFonts w:ascii="Eurobank Sans" w:hAnsi="Eurobank Sans" w:cs="Calibri"/>
          <w:color w:val="021342"/>
        </w:rPr>
      </w:pPr>
    </w:p>
    <w:p w14:paraId="66DFAD06" w14:textId="77777777" w:rsidR="00F45B74" w:rsidRPr="00F45B74" w:rsidRDefault="00F45B74" w:rsidP="00F45B74">
      <w:pPr>
        <w:pStyle w:val="Body"/>
        <w:spacing w:line="276" w:lineRule="auto"/>
        <w:ind w:left="-709" w:right="-568"/>
        <w:jc w:val="both"/>
        <w:rPr>
          <w:rFonts w:ascii="Eurobank Sans" w:hAnsi="Eurobank Sans" w:cs="Calibri"/>
          <w:color w:val="021342"/>
        </w:rPr>
      </w:pPr>
    </w:p>
    <w:p w14:paraId="2DFD9CD7" w14:textId="77777777" w:rsidR="00F45B74" w:rsidRPr="00F45B74" w:rsidRDefault="00F45B74" w:rsidP="00F45B74">
      <w:pPr>
        <w:pStyle w:val="Body"/>
        <w:spacing w:line="276" w:lineRule="auto"/>
        <w:ind w:left="-709" w:right="-568"/>
        <w:jc w:val="both"/>
        <w:rPr>
          <w:rFonts w:ascii="Eurobank Sans" w:hAnsi="Eurobank Sans" w:cs="Calibri"/>
          <w:b/>
          <w:bCs/>
          <w:color w:val="021342"/>
          <w:sz w:val="24"/>
          <w:szCs w:val="24"/>
        </w:rPr>
      </w:pPr>
      <w:r w:rsidRPr="00F45B74">
        <w:rPr>
          <w:rFonts w:ascii="Eurobank Sans" w:hAnsi="Eurobank Sans" w:cs="Calibri"/>
          <w:b/>
          <w:bCs/>
          <w:color w:val="021342"/>
          <w:sz w:val="24"/>
          <w:szCs w:val="24"/>
        </w:rPr>
        <w:t>Ανάπτυξη επιχειρηματικότητας, μεγέθυνση της εθνικής οικονομίας</w:t>
      </w:r>
    </w:p>
    <w:p w14:paraId="7576BFE4" w14:textId="77777777" w:rsidR="00F45B74" w:rsidRPr="00F45B74" w:rsidRDefault="00F45B74" w:rsidP="00F45B74">
      <w:pPr>
        <w:pStyle w:val="Body"/>
        <w:spacing w:line="276" w:lineRule="auto"/>
        <w:ind w:left="-709" w:right="-568"/>
        <w:jc w:val="both"/>
        <w:rPr>
          <w:rFonts w:ascii="Eurobank Sans" w:hAnsi="Eurobank Sans" w:cs="Calibri"/>
          <w:color w:val="021342"/>
        </w:rPr>
      </w:pPr>
    </w:p>
    <w:p w14:paraId="67AC7B39" w14:textId="0E801F60" w:rsidR="00F45B74" w:rsidRPr="00F45B74" w:rsidRDefault="00F45B74" w:rsidP="00F45B74">
      <w:pPr>
        <w:pStyle w:val="Body"/>
        <w:spacing w:line="276" w:lineRule="auto"/>
        <w:ind w:left="-709" w:right="-568"/>
        <w:jc w:val="both"/>
        <w:rPr>
          <w:rFonts w:ascii="Eurobank Sans" w:hAnsi="Eurobank Sans" w:cs="Calibri"/>
          <w:color w:val="021342"/>
        </w:rPr>
      </w:pPr>
      <w:r w:rsidRPr="00F45B74">
        <w:rPr>
          <w:rFonts w:ascii="Eurobank Sans" w:hAnsi="Eurobank Sans" w:cs="Calibri"/>
          <w:color w:val="021342"/>
        </w:rPr>
        <w:t>Κατά τη διάρκεια του 2022, οι νέες χρηματοδοτήσεις (καθαρή πιστωτική επέκταση) προς τις επιχειρήσεις προσέγγισαν, για το σύνολο του τραπεζικού συστήματος, τα €8,5 δισ., αυξημέν</w:t>
      </w:r>
      <w:r w:rsidR="00834F75">
        <w:rPr>
          <w:rFonts w:ascii="Eurobank Sans" w:hAnsi="Eurobank Sans" w:cs="Calibri"/>
          <w:color w:val="021342"/>
        </w:rPr>
        <w:t>ες</w:t>
      </w:r>
      <w:r w:rsidRPr="00F45B74">
        <w:rPr>
          <w:rFonts w:ascii="Eurobank Sans" w:hAnsi="Eurobank Sans" w:cs="Calibri"/>
          <w:color w:val="021342"/>
        </w:rPr>
        <w:t xml:space="preserve"> κατά 12,3% έναντι του προηγούμενου έτους, την ίδια στιγμή που οι τράπεζες συμμετέχουν ενεργά στην αξιοποίηση του Ταμείου Ανάκαμψης και Ανθεκτικότητας (ΤΑΑ), έχοντας αξιολογήσει και υποβάλει για λογαριασμό των πελατών τους επενδυτικές προτάσεις ύψους €10,5 δισ., οι οποίες</w:t>
      </w:r>
      <w:r>
        <w:rPr>
          <w:rFonts w:ascii="Eurobank Sans" w:hAnsi="Eurobank Sans" w:cs="Calibri"/>
          <w:color w:val="021342"/>
        </w:rPr>
        <w:t>,</w:t>
      </w:r>
      <w:r w:rsidRPr="00F45B74">
        <w:rPr>
          <w:rFonts w:ascii="Eurobank Sans" w:hAnsi="Eurobank Sans" w:cs="Calibri"/>
          <w:color w:val="021342"/>
        </w:rPr>
        <w:t xml:space="preserve"> σε ποσοστό περί το 40%</w:t>
      </w:r>
      <w:r>
        <w:rPr>
          <w:rFonts w:ascii="Eurobank Sans" w:hAnsi="Eurobank Sans" w:cs="Calibri"/>
          <w:color w:val="021342"/>
        </w:rPr>
        <w:t>,</w:t>
      </w:r>
      <w:r w:rsidRPr="00F45B74">
        <w:rPr>
          <w:rFonts w:ascii="Eurobank Sans" w:hAnsi="Eurobank Sans" w:cs="Calibri"/>
          <w:color w:val="021342"/>
        </w:rPr>
        <w:t xml:space="preserve"> χρηματοδοτούνται από τα πιστωτικά ιδρύματα. Παράλληλα, το ελληνικό τραπεζικό σύστημα δραστηριοποιείται εντατικά στην προσπάθεια προσέλκυσης άμεσων ξένων επενδύσεων, το ύψος των οποίων αναμένεται να υπερβεί σημαντικά την περυσινή ιστορικά υψηλή επίδοση των </w:t>
      </w:r>
      <w:r>
        <w:rPr>
          <w:rFonts w:ascii="Eurobank Sans" w:hAnsi="Eurobank Sans" w:cs="Calibri"/>
          <w:color w:val="021342"/>
        </w:rPr>
        <w:t>€</w:t>
      </w:r>
      <w:r w:rsidRPr="00F45B74">
        <w:rPr>
          <w:rFonts w:ascii="Eurobank Sans" w:hAnsi="Eurobank Sans" w:cs="Calibri"/>
          <w:color w:val="021342"/>
        </w:rPr>
        <w:t>5,4 δισ. ή 2,9% του ΑΕΠ, συμβάλλοντας έτσι στον εκσυγχρονισμό της ελληνικής οικονομίας, την αύξηση του ΑΕΠ και τη δημιουργία περισσότερων και καλύτερων θέσεων εργασίας.</w:t>
      </w:r>
    </w:p>
    <w:p w14:paraId="5F001B0A" w14:textId="77777777" w:rsidR="00F45B74" w:rsidRPr="00F45B74" w:rsidRDefault="00F45B74" w:rsidP="00F45B74">
      <w:pPr>
        <w:pStyle w:val="Body"/>
        <w:spacing w:line="276" w:lineRule="auto"/>
        <w:ind w:left="-709" w:right="-568"/>
        <w:jc w:val="both"/>
        <w:rPr>
          <w:rFonts w:ascii="Eurobank Sans" w:hAnsi="Eurobank Sans" w:cs="Calibri"/>
          <w:color w:val="021342"/>
        </w:rPr>
      </w:pPr>
    </w:p>
    <w:p w14:paraId="221A269A" w14:textId="0B6A57C0" w:rsidR="00F45B74" w:rsidRPr="00F45B74" w:rsidRDefault="00F45B74" w:rsidP="00F45B74">
      <w:pPr>
        <w:pStyle w:val="Body"/>
        <w:spacing w:line="276" w:lineRule="auto"/>
        <w:ind w:left="-709" w:right="-568"/>
        <w:jc w:val="both"/>
        <w:rPr>
          <w:rFonts w:ascii="Eurobank Sans" w:hAnsi="Eurobank Sans" w:cs="Calibri"/>
          <w:color w:val="021342"/>
        </w:rPr>
      </w:pPr>
      <w:r w:rsidRPr="00F45B74">
        <w:rPr>
          <w:rFonts w:ascii="Eurobank Sans" w:hAnsi="Eurobank Sans" w:cs="Calibri"/>
          <w:color w:val="021342"/>
        </w:rPr>
        <w:t>Θεμέλιο για τη δυνατότητα των τραπεζών να στηρίξουν χρηματοδοτικά την ελληνική επιχειρηματικότητα και τα σχέδια των Ελλήνων πολιτών, αποτέλεσε η μείωση των μη εξυπηρετούμενων δανείων, μέσω της αξιοποίησης του «προγράμματος Ηρακλής» της ελληνικής Πολιτείας αλλά και της περαιτέρω ενίσχυσης των κεφαλαίων των τραπεζών</w:t>
      </w:r>
      <w:r>
        <w:rPr>
          <w:rFonts w:ascii="Eurobank Sans" w:hAnsi="Eurobank Sans" w:cs="Calibri"/>
          <w:color w:val="021342"/>
        </w:rPr>
        <w:t>,</w:t>
      </w:r>
      <w:r w:rsidRPr="00F45B74">
        <w:rPr>
          <w:rFonts w:ascii="Eurobank Sans" w:hAnsi="Eurobank Sans" w:cs="Calibri"/>
          <w:color w:val="021342"/>
        </w:rPr>
        <w:t xml:space="preserve"> τόσο οργανικά όσο και μέσω αυξήσεων μετοχικού κεφαλαίου με τη συμμετοχή του ιδιωτικού τομέα. Η διαφύλαξη του αποτελέσματος αυτού</w:t>
      </w:r>
      <w:r>
        <w:rPr>
          <w:rFonts w:ascii="Eurobank Sans" w:hAnsi="Eurobank Sans" w:cs="Calibri"/>
          <w:color w:val="021342"/>
        </w:rPr>
        <w:t xml:space="preserve"> </w:t>
      </w:r>
      <w:r w:rsidRPr="00F45B74">
        <w:rPr>
          <w:rFonts w:ascii="Eurobank Sans" w:hAnsi="Eurobank Sans" w:cs="Calibri"/>
          <w:color w:val="021342"/>
        </w:rPr>
        <w:t>είναι κρίσιμη τόσο για τις προοπτικές του ελληνικού τραπεζικού συστήματος όσο και συνολικά για την εθνική μας οικονομία, καθώς ανοίγει το δρόμο για την επίτευξη του στόχου της επενδυτικής βαθμίδας, εντός του έτους.</w:t>
      </w:r>
    </w:p>
    <w:p w14:paraId="60479EDC" w14:textId="77777777" w:rsidR="00F45B74" w:rsidRPr="00F45B74" w:rsidRDefault="00F45B74" w:rsidP="00F45B74">
      <w:pPr>
        <w:pStyle w:val="Body"/>
        <w:spacing w:line="276" w:lineRule="auto"/>
        <w:ind w:left="-709" w:right="-568"/>
        <w:jc w:val="both"/>
        <w:rPr>
          <w:rFonts w:ascii="Eurobank Sans" w:hAnsi="Eurobank Sans" w:cs="Calibri"/>
          <w:color w:val="021342"/>
        </w:rPr>
      </w:pPr>
    </w:p>
    <w:p w14:paraId="36A6519D" w14:textId="77777777" w:rsidR="00F45B74" w:rsidRPr="00F45B74" w:rsidRDefault="00F45B74" w:rsidP="00F45B74">
      <w:pPr>
        <w:pStyle w:val="Body"/>
        <w:spacing w:line="276" w:lineRule="auto"/>
        <w:ind w:left="-709" w:right="-568"/>
        <w:jc w:val="both"/>
        <w:rPr>
          <w:rFonts w:ascii="Eurobank Sans" w:hAnsi="Eurobank Sans" w:cs="Calibri"/>
          <w:color w:val="021342"/>
        </w:rPr>
      </w:pPr>
    </w:p>
    <w:p w14:paraId="2595B8E5" w14:textId="77777777" w:rsidR="00F45B74" w:rsidRPr="00F45B74" w:rsidRDefault="00F45B74" w:rsidP="00F45B74">
      <w:pPr>
        <w:pStyle w:val="Body"/>
        <w:spacing w:line="276" w:lineRule="auto"/>
        <w:ind w:left="-709" w:right="-568"/>
        <w:jc w:val="both"/>
        <w:rPr>
          <w:rFonts w:ascii="Eurobank Sans" w:hAnsi="Eurobank Sans" w:cs="Calibri"/>
          <w:b/>
          <w:bCs/>
          <w:color w:val="021342"/>
          <w:sz w:val="24"/>
          <w:szCs w:val="24"/>
        </w:rPr>
      </w:pPr>
      <w:r w:rsidRPr="00F45B74">
        <w:rPr>
          <w:rFonts w:ascii="Eurobank Sans" w:hAnsi="Eurobank Sans" w:cs="Calibri"/>
          <w:b/>
          <w:bCs/>
          <w:color w:val="021342"/>
          <w:sz w:val="24"/>
          <w:szCs w:val="24"/>
        </w:rPr>
        <w:t>Ενεργή στήριξη δανειοληπτών</w:t>
      </w:r>
    </w:p>
    <w:p w14:paraId="7BE30041" w14:textId="77777777" w:rsidR="00F45B74" w:rsidRPr="00F45B74" w:rsidRDefault="00F45B74" w:rsidP="00F45B74">
      <w:pPr>
        <w:pStyle w:val="Body"/>
        <w:spacing w:line="276" w:lineRule="auto"/>
        <w:ind w:left="-709" w:right="-568"/>
        <w:jc w:val="both"/>
        <w:rPr>
          <w:rFonts w:ascii="Eurobank Sans" w:hAnsi="Eurobank Sans" w:cs="Calibri"/>
          <w:color w:val="021342"/>
        </w:rPr>
      </w:pPr>
    </w:p>
    <w:p w14:paraId="4E8DC05D" w14:textId="48B6AF98" w:rsidR="00F45B74" w:rsidRPr="00F45B74" w:rsidRDefault="00F45B74" w:rsidP="00F45B74">
      <w:pPr>
        <w:pStyle w:val="Body"/>
        <w:spacing w:line="276" w:lineRule="auto"/>
        <w:ind w:left="-709" w:right="-568"/>
        <w:jc w:val="both"/>
        <w:rPr>
          <w:rFonts w:ascii="Eurobank Sans" w:hAnsi="Eurobank Sans" w:cs="Calibri"/>
          <w:color w:val="021342"/>
        </w:rPr>
      </w:pPr>
      <w:r w:rsidRPr="00F45B74">
        <w:rPr>
          <w:rFonts w:ascii="Eurobank Sans" w:hAnsi="Eurobank Sans" w:cs="Calibri"/>
          <w:color w:val="021342"/>
        </w:rPr>
        <w:t xml:space="preserve">Την ίδια στιγμή, στο πλαίσιο των διακριτών στρατηγικών πλάνων ανάπτυξής τους, αλλά και σε συνέχεια του διαλόγου με την ηγεσία του Υπουργείου Οικονομικών, οι τέσσερις συστημικές </w:t>
      </w:r>
      <w:r>
        <w:rPr>
          <w:rFonts w:ascii="Eurobank Sans" w:hAnsi="Eurobank Sans" w:cs="Calibri"/>
          <w:color w:val="021342"/>
        </w:rPr>
        <w:t>Τ</w:t>
      </w:r>
      <w:r w:rsidRPr="00F45B74">
        <w:rPr>
          <w:rFonts w:ascii="Eurobank Sans" w:hAnsi="Eurobank Sans" w:cs="Calibri"/>
          <w:color w:val="021342"/>
        </w:rPr>
        <w:t xml:space="preserve">ράπεζες προωθούν σειρά δράσεων για την ενεργή διαχείριση των χαρτοφυλακίων τους, με στόχο την υποστήριξη </w:t>
      </w:r>
      <w:r w:rsidRPr="00F45B74">
        <w:rPr>
          <w:rFonts w:ascii="Eurobank Sans" w:hAnsi="Eurobank Sans" w:cs="Calibri"/>
          <w:b/>
          <w:bCs/>
          <w:color w:val="021342"/>
        </w:rPr>
        <w:t>δανειοληπτών που αντιμετωπίζουν δυσχέρειες.</w:t>
      </w:r>
    </w:p>
    <w:p w14:paraId="2F198847" w14:textId="77777777" w:rsidR="00F45B74" w:rsidRPr="00F45B74" w:rsidRDefault="00F45B74" w:rsidP="00F45B74">
      <w:pPr>
        <w:pStyle w:val="Body"/>
        <w:spacing w:line="276" w:lineRule="auto"/>
        <w:ind w:left="-709" w:right="-568"/>
        <w:jc w:val="both"/>
        <w:rPr>
          <w:rFonts w:ascii="Eurobank Sans" w:hAnsi="Eurobank Sans" w:cs="Calibri"/>
          <w:color w:val="021342"/>
        </w:rPr>
      </w:pPr>
    </w:p>
    <w:p w14:paraId="018DD321" w14:textId="47DA0732" w:rsidR="00F45B74" w:rsidRPr="00F45B74" w:rsidRDefault="00F45B74" w:rsidP="00F45B74">
      <w:pPr>
        <w:pStyle w:val="Body"/>
        <w:spacing w:line="276" w:lineRule="auto"/>
        <w:ind w:left="-709" w:right="-568"/>
        <w:jc w:val="both"/>
        <w:rPr>
          <w:rFonts w:ascii="Eurobank Sans" w:eastAsia="Arial" w:hAnsi="Eurobank Sans" w:cs="Calibri"/>
          <w:color w:val="021342"/>
        </w:rPr>
      </w:pPr>
      <w:r w:rsidRPr="00F45B74">
        <w:rPr>
          <w:rFonts w:ascii="Eurobank Sans" w:hAnsi="Eurobank Sans" w:cs="Calibri"/>
          <w:b/>
          <w:bCs/>
          <w:color w:val="021342"/>
        </w:rPr>
        <w:t>Ως προς το σχέδιο στήριξης των ενήμερων ευάλωτων δανειοληπτών που συμφωνήθηκε στον κύκλο συναντήσεων με τον υπουργό Οικονομικών</w:t>
      </w:r>
      <w:r w:rsidR="00554CA0">
        <w:rPr>
          <w:rFonts w:ascii="Eurobank Sans" w:hAnsi="Eurobank Sans" w:cs="Calibri"/>
          <w:b/>
          <w:bCs/>
          <w:color w:val="021342"/>
        </w:rPr>
        <w:t>,</w:t>
      </w:r>
      <w:r w:rsidRPr="00F45B74">
        <w:rPr>
          <w:rFonts w:ascii="Eurobank Sans" w:hAnsi="Eurobank Sans" w:cs="Calibri"/>
          <w:b/>
          <w:bCs/>
          <w:color w:val="021342"/>
        </w:rPr>
        <w:t xml:space="preserve"> κ. Χρ</w:t>
      </w:r>
      <w:r w:rsidR="00554CA0">
        <w:rPr>
          <w:rFonts w:ascii="Eurobank Sans" w:hAnsi="Eurobank Sans" w:cs="Calibri"/>
          <w:b/>
          <w:bCs/>
          <w:color w:val="021342"/>
        </w:rPr>
        <w:t>ήστο</w:t>
      </w:r>
      <w:r w:rsidRPr="00F45B74">
        <w:rPr>
          <w:rFonts w:ascii="Eurobank Sans" w:hAnsi="Eurobank Sans" w:cs="Calibri"/>
          <w:b/>
          <w:bCs/>
          <w:color w:val="021342"/>
        </w:rPr>
        <w:t xml:space="preserve"> </w:t>
      </w:r>
      <w:proofErr w:type="spellStart"/>
      <w:r w:rsidRPr="00F45B74">
        <w:rPr>
          <w:rFonts w:ascii="Eurobank Sans" w:hAnsi="Eurobank Sans" w:cs="Calibri"/>
          <w:b/>
          <w:bCs/>
          <w:color w:val="021342"/>
        </w:rPr>
        <w:t>Σταϊκούρα</w:t>
      </w:r>
      <w:proofErr w:type="spellEnd"/>
      <w:r w:rsidR="00554CA0">
        <w:rPr>
          <w:rFonts w:ascii="Eurobank Sans" w:hAnsi="Eurobank Sans" w:cs="Calibri"/>
          <w:b/>
          <w:bCs/>
          <w:color w:val="021342"/>
        </w:rPr>
        <w:t>,</w:t>
      </w:r>
      <w:r w:rsidRPr="00F45B74">
        <w:rPr>
          <w:rFonts w:ascii="Eurobank Sans" w:hAnsi="Eurobank Sans" w:cs="Calibri"/>
          <w:b/>
          <w:bCs/>
          <w:color w:val="021342"/>
        </w:rPr>
        <w:t xml:space="preserve"> για την επιδότηση της δόσης στεγαστικών δανείων ή και δανείων μικρών επιχειρήσεων</w:t>
      </w:r>
      <w:r w:rsidRPr="00F45B74">
        <w:rPr>
          <w:rFonts w:ascii="Eurobank Sans" w:hAnsi="Eurobank Sans" w:cs="Calibri"/>
          <w:color w:val="021342"/>
        </w:rPr>
        <w:t xml:space="preserve">, με εμπράγματη ασφάλεια στην πρώτη κατοικία, οι </w:t>
      </w:r>
      <w:r>
        <w:rPr>
          <w:rFonts w:ascii="Eurobank Sans" w:hAnsi="Eurobank Sans" w:cs="Calibri"/>
          <w:color w:val="021342"/>
        </w:rPr>
        <w:t>Τ</w:t>
      </w:r>
      <w:r w:rsidRPr="00F45B74">
        <w:rPr>
          <w:rFonts w:ascii="Eurobank Sans" w:hAnsi="Eurobank Sans" w:cs="Calibri"/>
          <w:color w:val="021342"/>
        </w:rPr>
        <w:t xml:space="preserve">ράπεζες προχωρούν, με ίδιες δαπάνες στην </w:t>
      </w:r>
      <w:r w:rsidRPr="00F45B74">
        <w:rPr>
          <w:rFonts w:ascii="Eurobank Sans" w:hAnsi="Eurobank Sans" w:cs="Calibri"/>
          <w:b/>
          <w:bCs/>
          <w:color w:val="021342"/>
        </w:rPr>
        <w:t>ταχεία υλοποίηση της πλατφόρμας</w:t>
      </w:r>
      <w:r w:rsidRPr="00F45B74">
        <w:rPr>
          <w:rFonts w:ascii="Eurobank Sans" w:hAnsi="Eurobank Sans" w:cs="Calibri"/>
          <w:color w:val="021342"/>
        </w:rPr>
        <w:t xml:space="preserve"> που θα υποδεχθεί τα αιτήματα των δικαιούχων. Από αύριο, 1</w:t>
      </w:r>
      <w:r w:rsidRPr="00F45B74">
        <w:rPr>
          <w:rFonts w:ascii="Eurobank Sans" w:hAnsi="Eurobank Sans" w:cs="Calibri"/>
          <w:color w:val="021342"/>
          <w:vertAlign w:val="superscript"/>
        </w:rPr>
        <w:t>η</w:t>
      </w:r>
      <w:r w:rsidRPr="00F45B74">
        <w:rPr>
          <w:rFonts w:ascii="Eurobank Sans" w:hAnsi="Eurobank Sans" w:cs="Calibri"/>
          <w:color w:val="021342"/>
        </w:rPr>
        <w:t xml:space="preserve"> Φεβρουαρίου</w:t>
      </w:r>
      <w:r>
        <w:rPr>
          <w:rFonts w:ascii="Eurobank Sans" w:hAnsi="Eurobank Sans" w:cs="Calibri"/>
          <w:color w:val="021342"/>
        </w:rPr>
        <w:t xml:space="preserve"> 2023</w:t>
      </w:r>
      <w:r w:rsidRPr="00F45B74">
        <w:rPr>
          <w:rFonts w:ascii="Eurobank Sans" w:hAnsi="Eurobank Sans" w:cs="Calibri"/>
          <w:color w:val="021342"/>
        </w:rPr>
        <w:t xml:space="preserve">, οι δανειολήπτες θα μπορούν να υποβάλλουν τις αιτήσεις τους στη πλατφόρμα (στο </w:t>
      </w:r>
      <w:r w:rsidRPr="00F45B74">
        <w:rPr>
          <w:rFonts w:ascii="Eurobank Sans" w:hAnsi="Eurobank Sans" w:cs="Calibri"/>
          <w:color w:val="021342"/>
          <w:lang w:val="en-US"/>
        </w:rPr>
        <w:t>link</w:t>
      </w:r>
      <w:r w:rsidRPr="00F45B74">
        <w:rPr>
          <w:rFonts w:ascii="Eurobank Sans" w:hAnsi="Eurobank Sans" w:cs="Calibri"/>
          <w:color w:val="021342"/>
        </w:rPr>
        <w:t xml:space="preserve"> </w:t>
      </w:r>
      <w:hyperlink r:id="rId7" w:history="1">
        <w:r w:rsidRPr="00F45B74">
          <w:rPr>
            <w:rStyle w:val="-"/>
            <w:rFonts w:ascii="Eurobank Sans" w:hAnsi="Eurobank Sans" w:cs="Calibri"/>
            <w:color w:val="0070C0"/>
          </w:rPr>
          <w:t>https://www.gov.gr/ipiresies/periousia-kai-phorologia/diakheirise-opheilon/bebaiose-eualotou-opheilete</w:t>
        </w:r>
      </w:hyperlink>
      <w:r w:rsidRPr="00F45B74">
        <w:rPr>
          <w:rFonts w:ascii="Eurobank Sans" w:hAnsi="Eurobank Sans" w:cs="Calibri"/>
          <w:color w:val="0070C0"/>
        </w:rPr>
        <w:t xml:space="preserve">), </w:t>
      </w:r>
      <w:r w:rsidRPr="00F45B74">
        <w:rPr>
          <w:rFonts w:ascii="Eurobank Sans" w:hAnsi="Eurobank Sans" w:cs="Calibri"/>
          <w:color w:val="021342"/>
        </w:rPr>
        <w:t>προκειμένου να τύχουν της σχετικής στήριξης, με πρώτο βήμα την έκδοση</w:t>
      </w:r>
      <w:r w:rsidRPr="00F45B74">
        <w:rPr>
          <w:rFonts w:ascii="Eurobank Sans" w:hAnsi="Eurobank Sans"/>
          <w:color w:val="021342"/>
        </w:rPr>
        <w:t xml:space="preserve"> </w:t>
      </w:r>
      <w:r w:rsidRPr="00F45B74">
        <w:rPr>
          <w:rFonts w:ascii="Eurobank Sans" w:hAnsi="Eurobank Sans" w:cs="Calibri"/>
          <w:color w:val="021342"/>
        </w:rPr>
        <w:t xml:space="preserve">σχετικής βεβαίωσης </w:t>
      </w:r>
      <w:proofErr w:type="spellStart"/>
      <w:r w:rsidRPr="00F45B74">
        <w:rPr>
          <w:rFonts w:ascii="Eurobank Sans" w:hAnsi="Eurobank Sans" w:cs="Calibri"/>
          <w:color w:val="021342"/>
        </w:rPr>
        <w:t>ευαλώτου</w:t>
      </w:r>
      <w:proofErr w:type="spellEnd"/>
      <w:r w:rsidRPr="00F45B74">
        <w:rPr>
          <w:rFonts w:ascii="Eurobank Sans" w:hAnsi="Eurobank Sans" w:cs="Calibri"/>
          <w:color w:val="021342"/>
        </w:rPr>
        <w:t xml:space="preserve"> δανειολήπτη μέσω του πληροφοριακού συστήματος της Ειδικής Γραμματείας Ιδιωτικού Χρέους. Υπενθυμίζεται πως το σχέδιο προβλέπει την επιδότηση ποσοστού 50% της αύξησης του επιτοκίου (με ημερομηνία αναφοράς για τον υπολογισμό της αύξησης την 30.6.2022) για διάστημα 12 μηνών</w:t>
      </w:r>
      <w:r>
        <w:rPr>
          <w:rFonts w:ascii="Eurobank Sans" w:hAnsi="Eurobank Sans" w:cs="Calibri"/>
          <w:color w:val="021342"/>
        </w:rPr>
        <w:t>,</w:t>
      </w:r>
      <w:r w:rsidRPr="00F45B74">
        <w:rPr>
          <w:rFonts w:ascii="Eurobank Sans" w:hAnsi="Eurobank Sans" w:cs="Calibri"/>
          <w:color w:val="021342"/>
        </w:rPr>
        <w:t xml:space="preserve"> ενώ τα αναλογούντα ποσά εκτιμάται πως θα ξεκινήσουν να πιστώνονται στους </w:t>
      </w:r>
      <w:r w:rsidR="00554CA0" w:rsidRPr="00F45B74">
        <w:rPr>
          <w:rFonts w:ascii="Eurobank Sans" w:hAnsi="Eurobank Sans" w:cs="Calibri"/>
          <w:color w:val="021342"/>
        </w:rPr>
        <w:t>λογαριασμούς</w:t>
      </w:r>
      <w:r w:rsidRPr="00F45B74">
        <w:rPr>
          <w:rFonts w:ascii="Eurobank Sans" w:hAnsi="Eurobank Sans" w:cs="Calibri"/>
          <w:color w:val="021342"/>
        </w:rPr>
        <w:t xml:space="preserve"> των δικαιούχων τον Απρίλιο. Το σύνολο της δαπάνης για την υποστήριξη των ευάλωτων δανειοληπτών θα καλυφθεί, στο πλαίσιο των διακριτών δράσεων </w:t>
      </w:r>
      <w:r w:rsidRPr="00F45B74">
        <w:rPr>
          <w:rFonts w:ascii="Eurobank Sans" w:hAnsi="Eurobank Sans" w:cs="Calibri"/>
          <w:b/>
          <w:bCs/>
          <w:color w:val="021342"/>
        </w:rPr>
        <w:t>εταιρικής κοινωνικής υπευθυνότητας των χρηματοπιστωτικών ιδρυμάτων</w:t>
      </w:r>
      <w:r w:rsidRPr="00F45B74">
        <w:rPr>
          <w:rFonts w:ascii="Eurobank Sans" w:hAnsi="Eurobank Sans" w:cs="Calibri"/>
          <w:color w:val="021342"/>
        </w:rPr>
        <w:t xml:space="preserve">, με ισόποσες εισφορές των </w:t>
      </w:r>
      <w:r>
        <w:rPr>
          <w:rFonts w:ascii="Eurobank Sans" w:hAnsi="Eurobank Sans" w:cs="Calibri"/>
          <w:color w:val="021342"/>
        </w:rPr>
        <w:t>τεσσάρων (4)</w:t>
      </w:r>
      <w:r w:rsidRPr="00F45B74">
        <w:rPr>
          <w:rFonts w:ascii="Eurobank Sans" w:hAnsi="Eurobank Sans" w:cs="Calibri"/>
          <w:color w:val="021342"/>
        </w:rPr>
        <w:t xml:space="preserve"> συστημικών τραπεζών.</w:t>
      </w:r>
    </w:p>
    <w:p w14:paraId="38E94978" w14:textId="77777777" w:rsidR="00F45B74" w:rsidRPr="00F45B74" w:rsidRDefault="00F45B74" w:rsidP="00F45B74">
      <w:pPr>
        <w:pStyle w:val="Body"/>
        <w:spacing w:line="276" w:lineRule="auto"/>
        <w:ind w:left="-709" w:right="-568"/>
        <w:jc w:val="both"/>
        <w:rPr>
          <w:rFonts w:ascii="Eurobank Sans" w:hAnsi="Eurobank Sans" w:cs="Calibri"/>
          <w:color w:val="021342"/>
        </w:rPr>
      </w:pPr>
    </w:p>
    <w:p w14:paraId="68B44813" w14:textId="0C136B94" w:rsidR="00F45B74" w:rsidRPr="00F45B74" w:rsidRDefault="00F45B74" w:rsidP="00F45B74">
      <w:pPr>
        <w:pStyle w:val="Body"/>
        <w:spacing w:line="276" w:lineRule="auto"/>
        <w:ind w:left="-709" w:right="-568"/>
        <w:jc w:val="both"/>
        <w:rPr>
          <w:rFonts w:ascii="Eurobank Sans" w:hAnsi="Eurobank Sans" w:cs="Calibri"/>
          <w:b/>
          <w:bCs/>
          <w:color w:val="021342"/>
        </w:rPr>
      </w:pPr>
      <w:r w:rsidRPr="00F45B74">
        <w:rPr>
          <w:rFonts w:ascii="Eurobank Sans" w:hAnsi="Eurobank Sans" w:cs="Calibri"/>
          <w:b/>
          <w:bCs/>
          <w:color w:val="021342"/>
        </w:rPr>
        <w:t>Παράλληλα, το ελληνικό τραπεζικό σύστημα αξιοποιεί τον εξωδικαστικό μηχανισμό ρύθμισης οφειλών ιδιωτών</w:t>
      </w:r>
      <w:r w:rsidRPr="00F45B74">
        <w:rPr>
          <w:rFonts w:ascii="Eurobank Sans" w:hAnsi="Eurobank Sans" w:cs="Calibri"/>
          <w:color w:val="021342"/>
        </w:rPr>
        <w:t xml:space="preserve">, ένα σημαντικό εργαλείο για τη διαχείριση του ιδιωτικού χρέους, και προβαίνει σε </w:t>
      </w:r>
      <w:r w:rsidRPr="00F45B74">
        <w:rPr>
          <w:rFonts w:ascii="Eurobank Sans" w:hAnsi="Eurobank Sans" w:cs="Calibri"/>
          <w:b/>
          <w:bCs/>
          <w:color w:val="021342"/>
        </w:rPr>
        <w:t>σειρά διμερών ρυθμίσεων στηρίζοντας δανειολήπτες που αντιμετωπίζουν παροδικές δυσκολίες στην εξυπηρέτηση των δανειακών τους υποχρεώσεων.</w:t>
      </w:r>
    </w:p>
    <w:p w14:paraId="673DF125" w14:textId="77777777" w:rsidR="00F45B74" w:rsidRPr="00F45B74" w:rsidRDefault="00F45B74" w:rsidP="00F45B74">
      <w:pPr>
        <w:pStyle w:val="Body"/>
        <w:spacing w:line="276" w:lineRule="auto"/>
        <w:ind w:left="-709" w:right="-568"/>
        <w:jc w:val="both"/>
        <w:rPr>
          <w:rFonts w:ascii="Eurobank Sans" w:hAnsi="Eurobank Sans" w:cs="Calibri"/>
          <w:color w:val="021342"/>
        </w:rPr>
      </w:pPr>
    </w:p>
    <w:p w14:paraId="4E58F607" w14:textId="101E4271" w:rsidR="00F45B74" w:rsidRPr="00F45B74" w:rsidRDefault="00F45B74" w:rsidP="00F45B74">
      <w:pPr>
        <w:pStyle w:val="Body"/>
        <w:spacing w:line="276" w:lineRule="auto"/>
        <w:ind w:left="-709" w:right="-568"/>
        <w:jc w:val="both"/>
        <w:rPr>
          <w:rFonts w:ascii="Eurobank Sans" w:hAnsi="Eurobank Sans" w:cs="Calibri"/>
          <w:color w:val="021342"/>
        </w:rPr>
      </w:pPr>
      <w:r w:rsidRPr="00F45B74">
        <w:rPr>
          <w:rFonts w:ascii="Eurobank Sans" w:hAnsi="Eurobank Sans" w:cs="Calibri"/>
          <w:color w:val="021342"/>
        </w:rPr>
        <w:t xml:space="preserve">Σε ό,τι αφορά τον εξωδικαστικό συμβιβασμό, </w:t>
      </w:r>
      <w:r w:rsidRPr="00F45B74">
        <w:rPr>
          <w:rFonts w:ascii="Eurobank Sans" w:hAnsi="Eurobank Sans" w:cs="Calibri"/>
          <w:b/>
          <w:bCs/>
          <w:color w:val="021342"/>
        </w:rPr>
        <w:t xml:space="preserve">έχει αυξηθεί σημαντικά η </w:t>
      </w:r>
      <w:proofErr w:type="spellStart"/>
      <w:r w:rsidRPr="00F45B74">
        <w:rPr>
          <w:rFonts w:ascii="Eurobank Sans" w:hAnsi="Eurobank Sans" w:cs="Calibri"/>
          <w:b/>
          <w:bCs/>
          <w:color w:val="021342"/>
        </w:rPr>
        <w:t>εγκρισιμότητα</w:t>
      </w:r>
      <w:proofErr w:type="spellEnd"/>
      <w:r w:rsidRPr="00F45B74">
        <w:rPr>
          <w:rFonts w:ascii="Eurobank Sans" w:hAnsi="Eurobank Sans" w:cs="Calibri"/>
          <w:b/>
          <w:bCs/>
          <w:color w:val="021342"/>
        </w:rPr>
        <w:t xml:space="preserve"> από πλευράς τραπεζών για τα δάνεια που διατηρούν στα χαρτοφυλάκιά τους. Πλέον το ποσοστό εγκρίσεων διαμορφώνεται, για το σύνολο του τραπεζικού συστήματος, στο 55%, </w:t>
      </w:r>
      <w:r w:rsidRPr="00F45B74">
        <w:rPr>
          <w:rFonts w:ascii="Eurobank Sans" w:hAnsi="Eurobank Sans" w:cs="Calibri"/>
          <w:color w:val="021342"/>
        </w:rPr>
        <w:t xml:space="preserve">υψηλότερο κατά 10 ποσοστιαίες μονάδες σε σχέση με τον Σεπτέμβριο του 2022, επιβεβαιώνοντας τη συνεχώς αυξανόμενη τάση στις </w:t>
      </w:r>
      <w:proofErr w:type="spellStart"/>
      <w:r w:rsidRPr="00F45B74">
        <w:rPr>
          <w:rFonts w:ascii="Eurobank Sans" w:hAnsi="Eurobank Sans" w:cs="Calibri"/>
          <w:color w:val="021342"/>
        </w:rPr>
        <w:t>εγκρισιμότητες</w:t>
      </w:r>
      <w:proofErr w:type="spellEnd"/>
      <w:r w:rsidRPr="00F45B74">
        <w:rPr>
          <w:rFonts w:ascii="Eurobank Sans" w:hAnsi="Eurobank Sans" w:cs="Calibri"/>
          <w:color w:val="021342"/>
        </w:rPr>
        <w:t>. Από την έναρξη λειτουργίας της πλατφόρμας, έχουν εγκριθεί από τις συστημικές Τράπεζες περί τις 2.800 αιτήσεις δανειοληπτών για συνολικές οφειλές που υπερβαίνουν τα Ευρώ 116 εκατ.</w:t>
      </w:r>
      <w:r>
        <w:rPr>
          <w:rFonts w:ascii="Eurobank Sans" w:hAnsi="Eurobank Sans" w:cs="Calibri"/>
          <w:color w:val="021342"/>
        </w:rPr>
        <w:t>.</w:t>
      </w:r>
    </w:p>
    <w:p w14:paraId="45E33F5D" w14:textId="77777777" w:rsidR="00F45B74" w:rsidRPr="00F45B74" w:rsidRDefault="00F45B74" w:rsidP="00F45B74">
      <w:pPr>
        <w:pStyle w:val="Body"/>
        <w:spacing w:line="276" w:lineRule="auto"/>
        <w:ind w:left="-709" w:right="-568"/>
        <w:jc w:val="both"/>
        <w:rPr>
          <w:rFonts w:ascii="Eurobank Sans" w:hAnsi="Eurobank Sans" w:cs="Calibri"/>
          <w:color w:val="021342"/>
        </w:rPr>
      </w:pPr>
    </w:p>
    <w:p w14:paraId="3A029DF0" w14:textId="6C15AB20" w:rsidR="00F45B74" w:rsidRPr="00F45B74" w:rsidRDefault="00F45B74" w:rsidP="00F45B74">
      <w:pPr>
        <w:pStyle w:val="Body"/>
        <w:spacing w:line="276" w:lineRule="auto"/>
        <w:ind w:left="-709" w:right="-568"/>
        <w:jc w:val="both"/>
        <w:rPr>
          <w:rFonts w:ascii="Eurobank Sans" w:hAnsi="Eurobank Sans" w:cs="Calibri"/>
          <w:b/>
          <w:bCs/>
          <w:color w:val="021342"/>
        </w:rPr>
      </w:pPr>
      <w:r w:rsidRPr="00F45B74">
        <w:rPr>
          <w:rFonts w:ascii="Eurobank Sans" w:hAnsi="Eurobank Sans" w:cs="Calibri"/>
          <w:color w:val="021342"/>
        </w:rPr>
        <w:t xml:space="preserve">Επιπρόσθετα, με βάση τη διακριτή πολιτική κάθε τράπεζας επί του θέματος, οι </w:t>
      </w:r>
      <w:r>
        <w:rPr>
          <w:rFonts w:ascii="Eurobank Sans" w:hAnsi="Eurobank Sans" w:cs="Calibri"/>
          <w:color w:val="021342"/>
        </w:rPr>
        <w:t>Τ</w:t>
      </w:r>
      <w:r w:rsidRPr="00F45B74">
        <w:rPr>
          <w:rFonts w:ascii="Eurobank Sans" w:hAnsi="Eurobank Sans" w:cs="Calibri"/>
          <w:color w:val="021342"/>
        </w:rPr>
        <w:t xml:space="preserve">ράπεζες έχουν προβεί κατά το παρελθόν, και συνεχίζουν να υλοποιούν, διμερείς ρυθμίσεις δανείων, </w:t>
      </w:r>
      <w:r w:rsidRPr="00F45B74">
        <w:rPr>
          <w:rFonts w:ascii="Eurobank Sans" w:hAnsi="Eurobank Sans" w:cs="Calibri"/>
          <w:b/>
          <w:bCs/>
          <w:color w:val="021342"/>
        </w:rPr>
        <w:t xml:space="preserve">διασφαλίζοντας την ποιότητα των χαρτοφυλακίων τους και, κυρίως, προσφέροντας βιώσιμες λύσεις στους πελάτες τους. Μόνον κατά τη διάρκεια του 2022, ανταποκρινόμενες στην ανάγκη στήριξης νοικοκυριών και επιχειρήσεων, οι συστημικές τράπεζες της χώρας προχώρησαν σε διμερείς συμφωνίες με 86.350 δανειολήπτες για δάνεια ύψους άνω των </w:t>
      </w:r>
      <w:r>
        <w:rPr>
          <w:rFonts w:ascii="Eurobank Sans" w:hAnsi="Eurobank Sans" w:cs="Calibri"/>
          <w:b/>
          <w:bCs/>
          <w:color w:val="021342"/>
        </w:rPr>
        <w:t>€</w:t>
      </w:r>
      <w:r w:rsidRPr="00F45B74">
        <w:rPr>
          <w:rFonts w:ascii="Eurobank Sans" w:hAnsi="Eurobank Sans" w:cs="Calibri"/>
          <w:b/>
          <w:bCs/>
          <w:color w:val="021342"/>
        </w:rPr>
        <w:t xml:space="preserve">5 δισ., εκ των οποίων τα </w:t>
      </w:r>
      <w:r>
        <w:rPr>
          <w:rFonts w:ascii="Eurobank Sans" w:hAnsi="Eurobank Sans" w:cs="Calibri"/>
          <w:b/>
          <w:bCs/>
          <w:color w:val="021342"/>
        </w:rPr>
        <w:t>€</w:t>
      </w:r>
      <w:r w:rsidRPr="00F45B74">
        <w:rPr>
          <w:rFonts w:ascii="Eurobank Sans" w:hAnsi="Eurobank Sans" w:cs="Calibri"/>
          <w:b/>
          <w:bCs/>
          <w:color w:val="021342"/>
        </w:rPr>
        <w:t>2,5 δισ. αφορούν στεγαστικά δάνεια, εξασφαλισμένα με ακίνητα.</w:t>
      </w:r>
    </w:p>
    <w:p w14:paraId="1171E126" w14:textId="77777777" w:rsidR="00F45B74" w:rsidRPr="00F45B74" w:rsidRDefault="00F45B74" w:rsidP="00F45B74">
      <w:pPr>
        <w:pStyle w:val="Body"/>
        <w:spacing w:line="276" w:lineRule="auto"/>
        <w:ind w:left="-709" w:right="-568"/>
        <w:jc w:val="both"/>
        <w:rPr>
          <w:rFonts w:ascii="Eurobank Sans" w:hAnsi="Eurobank Sans" w:cs="Calibri"/>
          <w:b/>
          <w:bCs/>
          <w:color w:val="021342"/>
        </w:rPr>
      </w:pPr>
    </w:p>
    <w:p w14:paraId="58D723ED" w14:textId="77777777" w:rsidR="00F45B74" w:rsidRPr="00F45B74" w:rsidRDefault="00F45B74" w:rsidP="00F45B74">
      <w:pPr>
        <w:pStyle w:val="Body"/>
        <w:spacing w:line="276" w:lineRule="auto"/>
        <w:ind w:left="-709" w:right="-568"/>
        <w:jc w:val="both"/>
        <w:rPr>
          <w:rFonts w:ascii="Eurobank Sans" w:hAnsi="Eurobank Sans" w:cs="Calibri"/>
          <w:color w:val="021342"/>
        </w:rPr>
      </w:pPr>
    </w:p>
    <w:p w14:paraId="508A32FB" w14:textId="77777777" w:rsidR="00F45B74" w:rsidRPr="00F45B74" w:rsidRDefault="00F45B74" w:rsidP="00F45B74">
      <w:pPr>
        <w:spacing w:line="276" w:lineRule="auto"/>
        <w:ind w:left="-709" w:right="-568"/>
        <w:jc w:val="both"/>
        <w:rPr>
          <w:rFonts w:ascii="Eurobank Sans" w:hAnsi="Eurobank Sans" w:cs="Calibri"/>
          <w:b/>
          <w:bCs/>
          <w:color w:val="021342"/>
          <w:lang w:val="el-GR"/>
        </w:rPr>
      </w:pPr>
      <w:r w:rsidRPr="00F45B74">
        <w:rPr>
          <w:rFonts w:ascii="Eurobank Sans" w:hAnsi="Eurobank Sans" w:cs="Calibri"/>
          <w:b/>
          <w:bCs/>
          <w:color w:val="021342"/>
          <w:lang w:val="el-GR"/>
        </w:rPr>
        <w:t>Επιτόκια και προμήθειες τραπεζικών εργασιών</w:t>
      </w:r>
    </w:p>
    <w:p w14:paraId="60D2B8FF" w14:textId="77777777" w:rsidR="00F45B74" w:rsidRPr="00F45B74" w:rsidRDefault="00F45B74" w:rsidP="00F45B74">
      <w:pPr>
        <w:spacing w:line="276" w:lineRule="auto"/>
        <w:ind w:left="-709" w:right="-568"/>
        <w:jc w:val="both"/>
        <w:rPr>
          <w:rFonts w:ascii="Eurobank Sans" w:hAnsi="Eurobank Sans" w:cs="Calibri"/>
          <w:color w:val="021342"/>
          <w:sz w:val="22"/>
          <w:szCs w:val="22"/>
          <w:lang w:val="el-GR"/>
        </w:rPr>
      </w:pPr>
    </w:p>
    <w:p w14:paraId="0F100B78" w14:textId="1AFEF078" w:rsidR="00F45B74" w:rsidRPr="00F45B74" w:rsidRDefault="00F45B74" w:rsidP="00F45B74">
      <w:pPr>
        <w:spacing w:line="276" w:lineRule="auto"/>
        <w:ind w:left="-709" w:right="-568"/>
        <w:jc w:val="both"/>
        <w:rPr>
          <w:rFonts w:ascii="Eurobank Sans" w:hAnsi="Eurobank Sans" w:cs="Calibri"/>
          <w:color w:val="021342"/>
          <w:sz w:val="22"/>
          <w:szCs w:val="22"/>
          <w:lang w:val="el-GR"/>
        </w:rPr>
      </w:pPr>
      <w:r w:rsidRPr="00F45B74">
        <w:rPr>
          <w:rFonts w:ascii="Eurobank Sans" w:hAnsi="Eurobank Sans" w:cs="Calibri"/>
          <w:color w:val="021342"/>
          <w:sz w:val="22"/>
          <w:szCs w:val="22"/>
          <w:lang w:val="el-GR"/>
        </w:rPr>
        <w:t xml:space="preserve">Ως προς το ζήτημα της </w:t>
      </w:r>
      <w:proofErr w:type="spellStart"/>
      <w:r w:rsidRPr="00F45B74">
        <w:rPr>
          <w:rFonts w:ascii="Eurobank Sans" w:hAnsi="Eurobank Sans" w:cs="Calibri"/>
          <w:color w:val="021342"/>
          <w:sz w:val="22"/>
          <w:szCs w:val="22"/>
          <w:lang w:val="el-GR"/>
        </w:rPr>
        <w:t>επιτοκιακής</w:t>
      </w:r>
      <w:proofErr w:type="spellEnd"/>
      <w:r w:rsidRPr="00F45B74">
        <w:rPr>
          <w:rFonts w:ascii="Eurobank Sans" w:hAnsi="Eurobank Sans" w:cs="Calibri"/>
          <w:color w:val="021342"/>
          <w:sz w:val="22"/>
          <w:szCs w:val="22"/>
          <w:lang w:val="el-GR"/>
        </w:rPr>
        <w:t xml:space="preserve"> και εμπορικής πολιτικής, οι </w:t>
      </w:r>
      <w:r w:rsidR="00993E49">
        <w:rPr>
          <w:rFonts w:ascii="Eurobank Sans" w:hAnsi="Eurobank Sans" w:cs="Calibri"/>
          <w:color w:val="021342"/>
          <w:sz w:val="22"/>
          <w:szCs w:val="22"/>
          <w:lang w:val="el-GR"/>
        </w:rPr>
        <w:t>Τ</w:t>
      </w:r>
      <w:r w:rsidRPr="00F45B74">
        <w:rPr>
          <w:rFonts w:ascii="Eurobank Sans" w:hAnsi="Eurobank Sans" w:cs="Calibri"/>
          <w:color w:val="021342"/>
          <w:sz w:val="22"/>
          <w:szCs w:val="22"/>
          <w:lang w:val="el-GR"/>
        </w:rPr>
        <w:t xml:space="preserve">ράπεζες, </w:t>
      </w:r>
      <w:r w:rsidRPr="00F45B74">
        <w:rPr>
          <w:rFonts w:ascii="Eurobank Sans" w:eastAsia="Times New Roman" w:hAnsi="Eurobank Sans" w:cs="Calibri"/>
          <w:color w:val="021342"/>
          <w:sz w:val="22"/>
          <w:szCs w:val="22"/>
          <w:bdr w:val="none" w:sz="0" w:space="0" w:color="auto" w:frame="1"/>
          <w:lang w:val="el-GR" w:eastAsia="en-GB"/>
        </w:rPr>
        <w:t xml:space="preserve">διακριτά και ανεξάρτητα </w:t>
      </w:r>
      <w:r w:rsidRPr="00F45B74">
        <w:rPr>
          <w:rFonts w:ascii="Eurobank Sans" w:hAnsi="Eurobank Sans" w:cs="Calibri"/>
          <w:color w:val="021342"/>
          <w:sz w:val="22"/>
          <w:szCs w:val="22"/>
          <w:lang w:val="el-GR"/>
        </w:rPr>
        <w:t xml:space="preserve">με βάση την πολιτική κάθε μίας, </w:t>
      </w:r>
      <w:r w:rsidRPr="00F45B74">
        <w:rPr>
          <w:rFonts w:ascii="Eurobank Sans" w:hAnsi="Eurobank Sans" w:cs="Calibri"/>
          <w:b/>
          <w:bCs/>
          <w:color w:val="021342"/>
          <w:sz w:val="22"/>
          <w:szCs w:val="22"/>
          <w:lang w:val="el-GR"/>
        </w:rPr>
        <w:t>αναπροσαρμόζουν συνεχώς τα επιτόκια καταθέσεων και χορηγήσεων</w:t>
      </w:r>
      <w:r w:rsidRPr="00F45B74">
        <w:rPr>
          <w:rFonts w:ascii="Eurobank Sans" w:hAnsi="Eurobank Sans" w:cs="Calibri"/>
          <w:color w:val="021342"/>
          <w:sz w:val="22"/>
          <w:szCs w:val="22"/>
          <w:lang w:val="el-GR"/>
        </w:rPr>
        <w:t xml:space="preserve">, </w:t>
      </w:r>
      <w:r w:rsidRPr="00F45B74">
        <w:rPr>
          <w:rFonts w:ascii="Eurobank Sans" w:eastAsia="Times New Roman" w:hAnsi="Eurobank Sans" w:cs="Calibri"/>
          <w:color w:val="021342"/>
          <w:sz w:val="22"/>
          <w:szCs w:val="22"/>
          <w:bdr w:val="none" w:sz="0" w:space="0" w:color="auto" w:frame="1"/>
          <w:lang w:val="el-GR" w:eastAsia="en-GB"/>
        </w:rPr>
        <w:t xml:space="preserve">όπως αυτά καθορίζονται από την ΕΚΤ, </w:t>
      </w:r>
      <w:r w:rsidRPr="00F45B74">
        <w:rPr>
          <w:rFonts w:ascii="Eurobank Sans" w:hAnsi="Eurobank Sans" w:cs="Calibri"/>
          <w:color w:val="021342"/>
          <w:sz w:val="22"/>
          <w:szCs w:val="22"/>
          <w:lang w:val="el-GR"/>
        </w:rPr>
        <w:t xml:space="preserve">και προχωρούν σε τακτική βάση στην </w:t>
      </w:r>
      <w:r w:rsidRPr="00F45B74">
        <w:rPr>
          <w:rFonts w:ascii="Eurobank Sans" w:hAnsi="Eurobank Sans" w:cs="Calibri"/>
          <w:b/>
          <w:bCs/>
          <w:color w:val="021342"/>
          <w:sz w:val="22"/>
          <w:szCs w:val="22"/>
          <w:lang w:val="el-GR"/>
        </w:rPr>
        <w:t xml:space="preserve">επανεξέταση ή και μείωση προμηθειών </w:t>
      </w:r>
      <w:r w:rsidRPr="00F45B74">
        <w:rPr>
          <w:rFonts w:ascii="Eurobank Sans" w:hAnsi="Eurobank Sans" w:cs="Calibri"/>
          <w:color w:val="021342"/>
          <w:sz w:val="22"/>
          <w:szCs w:val="22"/>
          <w:lang w:val="el-GR"/>
        </w:rPr>
        <w:t>που προβλέπονται για την παροχή τραπεζικών υπηρεσιών, σύμφωνα με την κείμενη ευρωπαϊκή νομοθεσία και τις συνθήκες ανταγωνισμού στην αγορά.</w:t>
      </w:r>
    </w:p>
    <w:p w14:paraId="7594C598" w14:textId="77777777" w:rsidR="00F45B74" w:rsidRPr="00F45B74" w:rsidRDefault="00F45B74" w:rsidP="00F45B74">
      <w:pPr>
        <w:spacing w:line="276" w:lineRule="auto"/>
        <w:ind w:left="-709" w:right="-568"/>
        <w:jc w:val="both"/>
        <w:rPr>
          <w:rFonts w:ascii="Eurobank Sans" w:hAnsi="Eurobank Sans" w:cs="Calibri"/>
          <w:color w:val="021342"/>
          <w:sz w:val="22"/>
          <w:szCs w:val="22"/>
          <w:lang w:val="el-GR"/>
        </w:rPr>
      </w:pPr>
    </w:p>
    <w:p w14:paraId="676D519A" w14:textId="77777777" w:rsidR="00F45B74" w:rsidRPr="00F45B74" w:rsidRDefault="00F45B74" w:rsidP="00F45B74">
      <w:pPr>
        <w:spacing w:line="276" w:lineRule="auto"/>
        <w:ind w:left="-709" w:right="-568"/>
        <w:jc w:val="both"/>
        <w:rPr>
          <w:rFonts w:ascii="Eurobank Sans" w:hAnsi="Eurobank Sans" w:cs="Calibri"/>
          <w:color w:val="021342"/>
          <w:sz w:val="22"/>
          <w:szCs w:val="22"/>
          <w:lang w:val="el-GR"/>
        </w:rPr>
      </w:pPr>
      <w:r w:rsidRPr="00F45B74">
        <w:rPr>
          <w:rFonts w:ascii="Eurobank Sans" w:hAnsi="Eurobank Sans" w:cs="Calibri"/>
          <w:color w:val="021342"/>
          <w:sz w:val="22"/>
          <w:szCs w:val="22"/>
          <w:lang w:val="el-GR"/>
        </w:rPr>
        <w:t>Ήδη, στους Έλληνες καταθέτες προσφέρεται σειρά επιλογών που συνδυάζουν ασφάλεια και αξιόλογες αποδόσεις, λαμβάνοντας υπόψη τις σχετικές αποφάσεις της ΕΚΤ και τις εσωτερικές πολιτικές κάθε τράπεζας. Για παράδειγμα, οι αποδόσεις των προθεσμιακών καταθέσεων διαρκείας ίσης ή μεγαλύτερης των 6 μηνών έχουν αυξητική τάση κατά τη διάρκεια των τελευταίων μηνών, με τις αποδόσεις για περίοδο 12 μηνών και άνω να διαμορφώνονται σε επίπεδα άνω του 1%, ανάλογα με την τράπεζα και το ποσό της προθεσμιακής κατάθεσης.</w:t>
      </w:r>
    </w:p>
    <w:p w14:paraId="67E064AC" w14:textId="77777777" w:rsidR="00F45B74" w:rsidRPr="00F45B74" w:rsidRDefault="00F45B74" w:rsidP="00F45B74">
      <w:pPr>
        <w:spacing w:line="276" w:lineRule="auto"/>
        <w:ind w:left="-709" w:right="-568"/>
        <w:jc w:val="both"/>
        <w:rPr>
          <w:rFonts w:ascii="Eurobank Sans" w:hAnsi="Eurobank Sans" w:cs="Calibri"/>
          <w:color w:val="021342"/>
          <w:sz w:val="22"/>
          <w:szCs w:val="22"/>
          <w:lang w:val="el-GR"/>
        </w:rPr>
      </w:pPr>
    </w:p>
    <w:p w14:paraId="2683119F" w14:textId="415BDED8" w:rsidR="00F45B74" w:rsidRPr="00F45B74" w:rsidRDefault="00F45B74" w:rsidP="00F45B74">
      <w:pPr>
        <w:spacing w:line="276" w:lineRule="auto"/>
        <w:ind w:left="-709" w:right="-568"/>
        <w:jc w:val="both"/>
        <w:rPr>
          <w:rFonts w:ascii="Eurobank Sans" w:hAnsi="Eurobank Sans" w:cs="Calibri"/>
          <w:color w:val="021342"/>
          <w:sz w:val="22"/>
          <w:szCs w:val="22"/>
          <w:lang w:val="el-GR"/>
        </w:rPr>
      </w:pPr>
      <w:r w:rsidRPr="00F45B74">
        <w:rPr>
          <w:rFonts w:ascii="Eurobank Sans" w:hAnsi="Eurobank Sans" w:cs="Calibri"/>
          <w:color w:val="021342"/>
          <w:sz w:val="22"/>
          <w:szCs w:val="22"/>
          <w:lang w:val="el-GR"/>
        </w:rPr>
        <w:t xml:space="preserve">Παράλληλα, οι ελληνικές τράπεζες προσφέρουν στο ευρύ κοινό, τηρώντας τους κανόνες </w:t>
      </w:r>
      <w:r w:rsidRPr="00F45B74">
        <w:rPr>
          <w:rFonts w:ascii="Eurobank Sans" w:hAnsi="Eurobank Sans" w:cs="Calibri"/>
          <w:color w:val="021342"/>
          <w:sz w:val="22"/>
          <w:szCs w:val="22"/>
        </w:rPr>
        <w:t>MiFID</w:t>
      </w:r>
      <w:r w:rsidRPr="00F45B74">
        <w:rPr>
          <w:rFonts w:ascii="Eurobank Sans" w:hAnsi="Eurobank Sans" w:cs="Calibri"/>
          <w:color w:val="021342"/>
          <w:sz w:val="22"/>
          <w:szCs w:val="22"/>
          <w:lang w:val="el-GR"/>
        </w:rPr>
        <w:t>, επενδυτικά προγράμματα ομολόγων με σημαντικά υψηλότερες αποδόσεις, που ενσωματώνουν την τάση των επιτοκίων στις διεθνείς αγορές.</w:t>
      </w:r>
    </w:p>
    <w:p w14:paraId="0D47D343" w14:textId="77777777" w:rsidR="00F45B74" w:rsidRPr="00F45B74" w:rsidRDefault="00F45B74" w:rsidP="00F45B74">
      <w:pPr>
        <w:spacing w:line="276" w:lineRule="auto"/>
        <w:ind w:left="-709" w:right="-568"/>
        <w:jc w:val="both"/>
        <w:rPr>
          <w:rFonts w:ascii="Eurobank Sans" w:hAnsi="Eurobank Sans" w:cs="Calibri"/>
          <w:color w:val="021342"/>
          <w:sz w:val="22"/>
          <w:szCs w:val="22"/>
          <w:lang w:val="el-GR"/>
        </w:rPr>
      </w:pPr>
    </w:p>
    <w:p w14:paraId="1780644B" w14:textId="77777777" w:rsidR="00F45B74" w:rsidRPr="00F45B74" w:rsidRDefault="00F45B74" w:rsidP="00F45B74">
      <w:pPr>
        <w:pStyle w:val="Body"/>
        <w:spacing w:line="276" w:lineRule="auto"/>
        <w:ind w:left="-709" w:right="-568"/>
        <w:jc w:val="both"/>
        <w:rPr>
          <w:rFonts w:ascii="Eurobank Sans" w:hAnsi="Eurobank Sans" w:cs="Calibri"/>
          <w:color w:val="021342"/>
        </w:rPr>
      </w:pPr>
      <w:r w:rsidRPr="00F45B74">
        <w:rPr>
          <w:rFonts w:ascii="Eurobank Sans" w:hAnsi="Eurobank Sans" w:cs="Calibri"/>
          <w:color w:val="021342"/>
        </w:rPr>
        <w:t xml:space="preserve">Την ίδια στιγμή, </w:t>
      </w:r>
      <w:r w:rsidRPr="00F45B74">
        <w:rPr>
          <w:rFonts w:ascii="Eurobank Sans" w:hAnsi="Eurobank Sans" w:cs="Calibri"/>
          <w:b/>
          <w:bCs/>
          <w:color w:val="021342"/>
        </w:rPr>
        <w:t xml:space="preserve">το κόστος δανεισμού στην Ελλάδα αυξάνεται με χαμηλότερους ρυθμούς σε σχέση με την Ευρωζώνη, </w:t>
      </w:r>
      <w:r w:rsidRPr="00F45B74">
        <w:rPr>
          <w:rFonts w:ascii="Eurobank Sans" w:hAnsi="Eurobank Sans" w:cs="Calibri"/>
          <w:color w:val="021342"/>
        </w:rPr>
        <w:t xml:space="preserve">τόσο για τα νοικοκυριά όσο και για τις επιχειρήσεις, κι αυτό παρά το συγκριτικά υψηλότερο κόστος δανεισμού των ελληνικών τραπεζών και του ελληνικού Δημοσίου. Είναι χαρακτηριστικό πως από τον Οκτώβριο έως τον Νοέμβριο του 2022, σε αντίθεση με τις τάσεις στην Ευρωζώνη, στην Ελλάδα καταγράφηκε </w:t>
      </w:r>
      <w:r w:rsidRPr="00F45B74">
        <w:rPr>
          <w:rFonts w:ascii="Eurobank Sans" w:hAnsi="Eurobank Sans" w:cs="Calibri"/>
          <w:b/>
          <w:bCs/>
          <w:color w:val="021342"/>
        </w:rPr>
        <w:t>καθαρή μείωση στο κόστος των νέων δανείων για τα νοικοκυριά</w:t>
      </w:r>
      <w:r w:rsidRPr="00F45B74">
        <w:rPr>
          <w:rFonts w:ascii="Eurobank Sans" w:hAnsi="Eurobank Sans" w:cs="Calibri"/>
          <w:color w:val="021342"/>
        </w:rPr>
        <w:t>.</w:t>
      </w:r>
    </w:p>
    <w:p w14:paraId="33945881" w14:textId="77777777" w:rsidR="00F45B74" w:rsidRPr="00F45B74" w:rsidRDefault="00F45B74" w:rsidP="00F45B74">
      <w:pPr>
        <w:spacing w:line="276" w:lineRule="auto"/>
        <w:ind w:left="-709" w:right="-568"/>
        <w:jc w:val="both"/>
        <w:rPr>
          <w:rFonts w:ascii="Eurobank Sans" w:hAnsi="Eurobank Sans" w:cs="Calibri"/>
          <w:color w:val="021342"/>
          <w:sz w:val="22"/>
          <w:szCs w:val="22"/>
          <w:lang w:val="el-GR"/>
        </w:rPr>
      </w:pPr>
    </w:p>
    <w:p w14:paraId="5D141CBC" w14:textId="7A78E419" w:rsidR="00F45B74" w:rsidRPr="00F45B74" w:rsidRDefault="00F45B74" w:rsidP="00F45B74">
      <w:pPr>
        <w:spacing w:line="276" w:lineRule="auto"/>
        <w:ind w:left="-709" w:right="-568"/>
        <w:jc w:val="both"/>
        <w:rPr>
          <w:rFonts w:ascii="Eurobank Sans" w:hAnsi="Eurobank Sans" w:cs="Calibri"/>
          <w:color w:val="021342"/>
          <w:sz w:val="22"/>
          <w:szCs w:val="22"/>
          <w:lang w:val="el-GR"/>
        </w:rPr>
      </w:pPr>
      <w:r w:rsidRPr="00F45B74">
        <w:rPr>
          <w:rFonts w:ascii="Eurobank Sans" w:hAnsi="Eurobank Sans" w:cs="Calibri"/>
          <w:color w:val="021342"/>
          <w:sz w:val="22"/>
          <w:szCs w:val="22"/>
          <w:lang w:val="el-GR"/>
        </w:rPr>
        <w:t xml:space="preserve">Σε ό,τι αφορά, τέλος, τις προμήθειες των τραπεζικών εργασιών και προϊόντων, κάθε τράπεζα ξεχωριστά και με βάση την εμπορική της πολιτική, </w:t>
      </w:r>
      <w:r w:rsidRPr="00F45B74">
        <w:rPr>
          <w:rFonts w:ascii="Eurobank Sans" w:hAnsi="Eurobank Sans" w:cs="Calibri"/>
          <w:b/>
          <w:bCs/>
          <w:color w:val="021342"/>
          <w:sz w:val="22"/>
          <w:szCs w:val="22"/>
          <w:lang w:val="el-GR"/>
        </w:rPr>
        <w:t>επανεξετάζει τακτικά την τιμολογιακή της πολιτικής, με στόχο τη διασφάλιση της ανταποδοτικότητας και τον περιορισμό των χρονικών και οικονομικών επιβαρύνσεων για επιχειρήσεις και ιδιώτες</w:t>
      </w:r>
      <w:r w:rsidRPr="00F45B74">
        <w:rPr>
          <w:rFonts w:ascii="Eurobank Sans" w:hAnsi="Eurobank Sans" w:cs="Calibri"/>
          <w:color w:val="021342"/>
          <w:sz w:val="22"/>
          <w:szCs w:val="22"/>
          <w:lang w:val="el-GR"/>
        </w:rPr>
        <w:t xml:space="preserve">. Στη χώρα μας, οι ιδιώτες μπορούν πλέον να πραγματοποιούν – χωρίς κόστος - εμβάσματα ύψους έως </w:t>
      </w:r>
      <w:r w:rsidR="00993E49">
        <w:rPr>
          <w:rFonts w:ascii="Eurobank Sans" w:hAnsi="Eurobank Sans" w:cs="Calibri"/>
          <w:color w:val="021342"/>
          <w:sz w:val="22"/>
          <w:szCs w:val="22"/>
          <w:lang w:val="el-GR"/>
        </w:rPr>
        <w:t>€</w:t>
      </w:r>
      <w:r w:rsidRPr="00F45B74">
        <w:rPr>
          <w:rFonts w:ascii="Eurobank Sans" w:hAnsi="Eurobank Sans" w:cs="Calibri"/>
          <w:color w:val="021342"/>
          <w:sz w:val="22"/>
          <w:szCs w:val="22"/>
          <w:lang w:val="el-GR"/>
        </w:rPr>
        <w:t xml:space="preserve">500 ημερησίως, μέσω του κινητού τους τηλεφώνου και της υπηρεσίας </w:t>
      </w:r>
      <w:r w:rsidRPr="00F45B74">
        <w:rPr>
          <w:rFonts w:ascii="Eurobank Sans" w:hAnsi="Eurobank Sans" w:cs="Calibri"/>
          <w:color w:val="021342"/>
          <w:sz w:val="22"/>
          <w:szCs w:val="22"/>
        </w:rPr>
        <w:t>IRIS</w:t>
      </w:r>
      <w:r w:rsidRPr="00F45B74">
        <w:rPr>
          <w:rFonts w:ascii="Eurobank Sans" w:hAnsi="Eurobank Sans" w:cs="Calibri"/>
          <w:color w:val="021342"/>
          <w:sz w:val="22"/>
          <w:szCs w:val="22"/>
          <w:lang w:val="el-GR"/>
        </w:rPr>
        <w:t>.</w:t>
      </w:r>
    </w:p>
    <w:p w14:paraId="679F4A43" w14:textId="77777777" w:rsidR="00F45B74" w:rsidRPr="00F45B74" w:rsidRDefault="00F45B74" w:rsidP="00F45B74">
      <w:pPr>
        <w:spacing w:line="276" w:lineRule="auto"/>
        <w:ind w:left="-709" w:right="-568"/>
        <w:jc w:val="both"/>
        <w:rPr>
          <w:rFonts w:ascii="Eurobank Sans" w:hAnsi="Eurobank Sans" w:cs="Calibri"/>
          <w:color w:val="021342"/>
          <w:sz w:val="22"/>
          <w:szCs w:val="22"/>
          <w:lang w:val="el-GR"/>
        </w:rPr>
      </w:pPr>
    </w:p>
    <w:p w14:paraId="64F0D0BE" w14:textId="0AD39B9B" w:rsidR="00F45B74" w:rsidRPr="00F45B74" w:rsidRDefault="00F45B74" w:rsidP="00F45B74">
      <w:pPr>
        <w:spacing w:line="276" w:lineRule="auto"/>
        <w:ind w:left="-709" w:right="-568"/>
        <w:jc w:val="both"/>
        <w:rPr>
          <w:rFonts w:ascii="Eurobank Sans" w:hAnsi="Eurobank Sans" w:cs="Calibri"/>
          <w:color w:val="021342"/>
          <w:sz w:val="22"/>
          <w:szCs w:val="22"/>
          <w:lang w:val="el-GR"/>
        </w:rPr>
      </w:pPr>
      <w:r w:rsidRPr="00F45B74">
        <w:rPr>
          <w:rFonts w:ascii="Eurobank Sans" w:hAnsi="Eurobank Sans" w:cs="Calibri"/>
          <w:color w:val="021342"/>
          <w:sz w:val="22"/>
          <w:szCs w:val="22"/>
          <w:lang w:val="el-GR"/>
        </w:rPr>
        <w:t>Συγχρόνως, η κάθε τράπεζα, διακριτά και αυτόνομα από τις υπόλοιπες, έχει μειώσει ορισμένες επιπλέον προμήθειες τραπεζικών εργασιών. Τέτοιες αναπροσαρμογές είναι διαφορετικές ανά τράπεζα, ανάλογα με την εμπορική πολιτική της καθεμίας, αλλά ενδεικτικά αφορούν αγορά χρεογράφων του Ελληνικού Δημοσίου, αξιολόγηση αιτημάτων στεγαστικών δανείων, πληρωμή λογαριασμών, συνδρομή πιστωτικής κάρτας, κ</w:t>
      </w:r>
      <w:r w:rsidR="00993E49">
        <w:rPr>
          <w:rFonts w:ascii="Eurobank Sans" w:hAnsi="Eurobank Sans" w:cs="Calibri"/>
          <w:color w:val="021342"/>
          <w:sz w:val="22"/>
          <w:szCs w:val="22"/>
          <w:lang w:val="el-GR"/>
        </w:rPr>
        <w:t>.</w:t>
      </w:r>
      <w:r w:rsidRPr="00F45B74">
        <w:rPr>
          <w:rFonts w:ascii="Eurobank Sans" w:hAnsi="Eurobank Sans" w:cs="Calibri"/>
          <w:color w:val="021342"/>
          <w:sz w:val="22"/>
          <w:szCs w:val="22"/>
          <w:lang w:val="el-GR"/>
        </w:rPr>
        <w:t>λπ.</w:t>
      </w:r>
    </w:p>
    <w:p w14:paraId="0584F227" w14:textId="77777777" w:rsidR="00F45B74" w:rsidRPr="00F45B74" w:rsidRDefault="00F45B74" w:rsidP="00F45B74">
      <w:pPr>
        <w:spacing w:line="276" w:lineRule="auto"/>
        <w:ind w:left="-709" w:right="-568"/>
        <w:jc w:val="both"/>
        <w:rPr>
          <w:rFonts w:ascii="Eurobank Sans" w:hAnsi="Eurobank Sans" w:cs="Calibri"/>
          <w:color w:val="021342"/>
          <w:sz w:val="22"/>
          <w:szCs w:val="22"/>
          <w:lang w:val="el-GR"/>
        </w:rPr>
      </w:pPr>
    </w:p>
    <w:p w14:paraId="584A6F93" w14:textId="77777777" w:rsidR="00F45B74" w:rsidRPr="00F45B74" w:rsidRDefault="00F45B74" w:rsidP="00F45B74">
      <w:pPr>
        <w:spacing w:line="276" w:lineRule="auto"/>
        <w:ind w:left="-709" w:right="-568"/>
        <w:jc w:val="both"/>
        <w:rPr>
          <w:rFonts w:ascii="Eurobank Sans" w:hAnsi="Eurobank Sans" w:cs="Calibri"/>
          <w:color w:val="021342"/>
          <w:sz w:val="22"/>
          <w:szCs w:val="22"/>
          <w:lang w:val="el-GR"/>
        </w:rPr>
      </w:pPr>
      <w:r w:rsidRPr="00F45B74">
        <w:rPr>
          <w:rFonts w:ascii="Eurobank Sans" w:hAnsi="Eurobank Sans" w:cs="Calibri"/>
          <w:color w:val="021342"/>
          <w:sz w:val="22"/>
          <w:szCs w:val="22"/>
          <w:lang w:val="el-GR"/>
        </w:rPr>
        <w:t xml:space="preserve">Οι ελληνικές τράπεζες επενδύουν ετησίως εκατοντάδες εκατομμύρια ευρώ στην </w:t>
      </w:r>
      <w:r w:rsidRPr="00F45B74">
        <w:rPr>
          <w:rFonts w:ascii="Eurobank Sans" w:hAnsi="Eurobank Sans" w:cs="Calibri"/>
          <w:b/>
          <w:bCs/>
          <w:color w:val="021342"/>
          <w:sz w:val="22"/>
          <w:szCs w:val="22"/>
          <w:lang w:val="el-GR"/>
        </w:rPr>
        <w:t>ενίσχυση της ασφάλειας</w:t>
      </w:r>
      <w:r w:rsidRPr="00F45B74">
        <w:rPr>
          <w:rFonts w:ascii="Eurobank Sans" w:hAnsi="Eurobank Sans" w:cs="Calibri"/>
          <w:color w:val="021342"/>
          <w:sz w:val="22"/>
          <w:szCs w:val="22"/>
          <w:lang w:val="el-GR"/>
        </w:rPr>
        <w:t xml:space="preserve"> και της </w:t>
      </w:r>
      <w:r w:rsidRPr="00F45B74">
        <w:rPr>
          <w:rFonts w:ascii="Eurobank Sans" w:hAnsi="Eurobank Sans" w:cs="Calibri"/>
          <w:b/>
          <w:bCs/>
          <w:color w:val="021342"/>
          <w:sz w:val="22"/>
          <w:szCs w:val="22"/>
          <w:lang w:val="el-GR"/>
        </w:rPr>
        <w:t>λειτουργικότητας των τεχνολογικών τους υποδομών,</w:t>
      </w:r>
      <w:r w:rsidRPr="00F45B74">
        <w:rPr>
          <w:rFonts w:ascii="Eurobank Sans" w:hAnsi="Eurobank Sans" w:cs="Calibri"/>
          <w:color w:val="021342"/>
          <w:sz w:val="22"/>
          <w:szCs w:val="22"/>
          <w:lang w:val="el-GR"/>
        </w:rPr>
        <w:t xml:space="preserve"> ώστε να παρέχουν στους πελάτες τους τη δυνατότητα άμεσης πραγματοποίησης ενός αυξανόμενου αριθμού ψηφιακών </w:t>
      </w:r>
      <w:r w:rsidRPr="00F45B74">
        <w:rPr>
          <w:rFonts w:ascii="Eurobank Sans" w:hAnsi="Eurobank Sans" w:cs="Calibri"/>
          <w:b/>
          <w:bCs/>
          <w:color w:val="021342"/>
          <w:sz w:val="22"/>
          <w:szCs w:val="22"/>
          <w:lang w:val="el-GR"/>
        </w:rPr>
        <w:t xml:space="preserve">τραπεζικών συναλλαγών με χαμηλότερο κόστος. </w:t>
      </w:r>
      <w:r w:rsidRPr="00F45B74">
        <w:rPr>
          <w:rFonts w:ascii="Eurobank Sans" w:hAnsi="Eurobank Sans" w:cs="Calibri"/>
          <w:color w:val="021342"/>
          <w:sz w:val="22"/>
          <w:szCs w:val="22"/>
          <w:lang w:val="el-GR"/>
        </w:rPr>
        <w:t>Συμβάλλουν έτσι</w:t>
      </w:r>
      <w:r w:rsidRPr="00F45B74">
        <w:rPr>
          <w:rFonts w:ascii="Eurobank Sans" w:hAnsi="Eurobank Sans" w:cs="Calibri"/>
          <w:b/>
          <w:bCs/>
          <w:color w:val="021342"/>
          <w:sz w:val="22"/>
          <w:szCs w:val="22"/>
          <w:lang w:val="el-GR"/>
        </w:rPr>
        <w:t xml:space="preserve"> </w:t>
      </w:r>
      <w:r w:rsidRPr="00F45B74">
        <w:rPr>
          <w:rFonts w:ascii="Eurobank Sans" w:hAnsi="Eurobank Sans" w:cs="Calibri"/>
          <w:color w:val="021342"/>
          <w:sz w:val="22"/>
          <w:szCs w:val="22"/>
          <w:lang w:val="el-GR"/>
        </w:rPr>
        <w:t>στην ενίσχυση των ηλεκτρονικών συναλλαγών και στην εμπέδωση μίας σύγχρονης συναλλακτικής συνείδησης.</w:t>
      </w:r>
    </w:p>
    <w:p w14:paraId="3AA73717" w14:textId="77777777" w:rsidR="00F45B74" w:rsidRPr="00F45B74" w:rsidRDefault="00F45B74" w:rsidP="00F45B74">
      <w:pPr>
        <w:spacing w:line="276" w:lineRule="auto"/>
        <w:ind w:left="-709" w:right="-568"/>
        <w:jc w:val="both"/>
        <w:rPr>
          <w:rFonts w:ascii="Eurobank Sans" w:hAnsi="Eurobank Sans" w:cs="Calibri"/>
          <w:color w:val="021342"/>
          <w:sz w:val="22"/>
          <w:szCs w:val="22"/>
          <w:lang w:val="el-GR"/>
        </w:rPr>
      </w:pPr>
    </w:p>
    <w:p w14:paraId="10AF9885" w14:textId="732EBE76" w:rsidR="00F45B74" w:rsidRPr="00F45B74" w:rsidRDefault="00F45B74" w:rsidP="00F45B74">
      <w:pPr>
        <w:spacing w:line="276" w:lineRule="auto"/>
        <w:ind w:left="-709" w:right="-568"/>
        <w:jc w:val="both"/>
        <w:rPr>
          <w:rFonts w:ascii="Eurobank Sans" w:hAnsi="Eurobank Sans" w:cs="Calibri"/>
          <w:color w:val="021342"/>
          <w:sz w:val="22"/>
          <w:szCs w:val="22"/>
          <w:lang w:val="el-GR"/>
        </w:rPr>
      </w:pPr>
      <w:r w:rsidRPr="00F45B74">
        <w:rPr>
          <w:rFonts w:ascii="Eurobank Sans" w:hAnsi="Eurobank Sans" w:cs="Calibri"/>
          <w:color w:val="021342"/>
          <w:sz w:val="22"/>
          <w:szCs w:val="22"/>
          <w:lang w:val="el-GR"/>
        </w:rPr>
        <w:t xml:space="preserve">Τέλος, η κάθε τράπεζα, ανάλογα με την εμπορική πολιτική της, διενεργεί καθ’ όλη τη διάρκεια του έτους </w:t>
      </w:r>
      <w:proofErr w:type="spellStart"/>
      <w:r w:rsidRPr="00F45B74">
        <w:rPr>
          <w:rFonts w:ascii="Eurobank Sans" w:hAnsi="Eurobank Sans" w:cs="Calibri"/>
          <w:color w:val="021342"/>
          <w:sz w:val="22"/>
          <w:szCs w:val="22"/>
          <w:lang w:val="el-GR"/>
        </w:rPr>
        <w:t>στοχευμένες</w:t>
      </w:r>
      <w:proofErr w:type="spellEnd"/>
      <w:r w:rsidRPr="00F45B74">
        <w:rPr>
          <w:rFonts w:ascii="Eurobank Sans" w:hAnsi="Eurobank Sans" w:cs="Calibri"/>
          <w:color w:val="021342"/>
          <w:sz w:val="22"/>
          <w:szCs w:val="22"/>
          <w:lang w:val="el-GR"/>
        </w:rPr>
        <w:t xml:space="preserve"> εμπορικές ενέργειες (</w:t>
      </w:r>
      <w:r w:rsidRPr="00F45B74">
        <w:rPr>
          <w:rFonts w:ascii="Eurobank Sans" w:hAnsi="Eurobank Sans" w:cs="Calibri"/>
          <w:b/>
          <w:bCs/>
          <w:color w:val="021342"/>
          <w:sz w:val="22"/>
          <w:szCs w:val="22"/>
          <w:lang w:val="el-GR"/>
        </w:rPr>
        <w:t>προγράμματα επιβράβευσης των πελατών της για συναλλαγές μέσω χρεωστικών και πιστωτικών καρτών</w:t>
      </w:r>
      <w:r w:rsidRPr="00F45B74">
        <w:rPr>
          <w:rFonts w:ascii="Eurobank Sans" w:hAnsi="Eurobank Sans" w:cs="Calibri"/>
          <w:color w:val="021342"/>
          <w:sz w:val="22"/>
          <w:szCs w:val="22"/>
          <w:lang w:val="el-GR"/>
        </w:rPr>
        <w:t xml:space="preserve">), σε συνεργασία με το λιανεμπόριο. Ειδικά, </w:t>
      </w:r>
      <w:r w:rsidRPr="00F45B74">
        <w:rPr>
          <w:rFonts w:ascii="Eurobank Sans" w:hAnsi="Eurobank Sans" w:cs="Calibri"/>
          <w:b/>
          <w:bCs/>
          <w:color w:val="021342"/>
          <w:sz w:val="22"/>
          <w:szCs w:val="22"/>
          <w:lang w:val="el-GR"/>
        </w:rPr>
        <w:t>για την περίοδο του Πάσχα</w:t>
      </w:r>
      <w:r w:rsidRPr="00F45B74">
        <w:rPr>
          <w:rFonts w:ascii="Eurobank Sans" w:hAnsi="Eurobank Sans" w:cs="Calibri"/>
          <w:color w:val="021342"/>
          <w:sz w:val="22"/>
          <w:szCs w:val="22"/>
          <w:lang w:val="el-GR"/>
        </w:rPr>
        <w:t xml:space="preserve">, όπως και την πρόσφατη περίοδο των Χριστουγέννων, η κάθε τράπεζα ξεχωριστά σχεδιάζει ενέργειες με σημαντική αύξηση της επιβράβευσης και ανταποδοτικά οφέλη σε κατηγορίες που καλύπτουν βασικές ανάγκες των Πελατών όπως </w:t>
      </w:r>
      <w:proofErr w:type="spellStart"/>
      <w:r w:rsidRPr="00F45B74">
        <w:rPr>
          <w:rFonts w:ascii="Eurobank Sans" w:hAnsi="Eurobank Sans" w:cs="Calibri"/>
          <w:color w:val="021342"/>
          <w:sz w:val="22"/>
          <w:szCs w:val="22"/>
          <w:lang w:val="el-GR"/>
        </w:rPr>
        <w:t>super</w:t>
      </w:r>
      <w:proofErr w:type="spellEnd"/>
      <w:r w:rsidRPr="00F45B74">
        <w:rPr>
          <w:rFonts w:ascii="Eurobank Sans" w:hAnsi="Eurobank Sans" w:cs="Calibri"/>
          <w:color w:val="021342"/>
          <w:sz w:val="22"/>
          <w:szCs w:val="22"/>
          <w:lang w:val="el-GR"/>
        </w:rPr>
        <w:t xml:space="preserve"> </w:t>
      </w:r>
      <w:proofErr w:type="spellStart"/>
      <w:r w:rsidRPr="00F45B74">
        <w:rPr>
          <w:rFonts w:ascii="Eurobank Sans" w:hAnsi="Eurobank Sans" w:cs="Calibri"/>
          <w:color w:val="021342"/>
          <w:sz w:val="22"/>
          <w:szCs w:val="22"/>
          <w:lang w:val="el-GR"/>
        </w:rPr>
        <w:t>market</w:t>
      </w:r>
      <w:proofErr w:type="spellEnd"/>
      <w:r w:rsidRPr="00F45B74">
        <w:rPr>
          <w:rFonts w:ascii="Eurobank Sans" w:hAnsi="Eurobank Sans" w:cs="Calibri"/>
          <w:color w:val="021342"/>
          <w:sz w:val="22"/>
          <w:szCs w:val="22"/>
          <w:lang w:val="el-GR"/>
        </w:rPr>
        <w:t>, καύσιμα, είδη ένδυσης κ.</w:t>
      </w:r>
      <w:r w:rsidR="00993E49">
        <w:rPr>
          <w:rFonts w:ascii="Eurobank Sans" w:hAnsi="Eurobank Sans" w:cs="Calibri"/>
          <w:color w:val="021342"/>
          <w:sz w:val="22"/>
          <w:szCs w:val="22"/>
          <w:lang w:val="el-GR"/>
        </w:rPr>
        <w:t>ά</w:t>
      </w:r>
      <w:r w:rsidRPr="00F45B74">
        <w:rPr>
          <w:rFonts w:ascii="Eurobank Sans" w:hAnsi="Eurobank Sans" w:cs="Calibri"/>
          <w:color w:val="021342"/>
          <w:sz w:val="22"/>
          <w:szCs w:val="22"/>
          <w:lang w:val="el-GR"/>
        </w:rPr>
        <w:t>.</w:t>
      </w:r>
      <w:r w:rsidR="00993E49">
        <w:rPr>
          <w:rFonts w:ascii="Eurobank Sans" w:hAnsi="Eurobank Sans" w:cs="Calibri"/>
          <w:color w:val="021342"/>
          <w:sz w:val="22"/>
          <w:szCs w:val="22"/>
          <w:lang w:val="el-GR"/>
        </w:rPr>
        <w:t>.</w:t>
      </w:r>
    </w:p>
    <w:p w14:paraId="130F2871" w14:textId="2E08227C" w:rsidR="009540C0" w:rsidRPr="00DC500C" w:rsidRDefault="009540C0" w:rsidP="00F45B74">
      <w:pPr>
        <w:pStyle w:val="Body"/>
        <w:spacing w:line="276" w:lineRule="auto"/>
        <w:ind w:left="-709" w:right="-568"/>
        <w:jc w:val="center"/>
        <w:rPr>
          <w:rFonts w:ascii="Eurobank Sans" w:eastAsia="Arial" w:hAnsi="Eurobank Sans" w:cs="Arial"/>
          <w:color w:val="021342"/>
        </w:rPr>
      </w:pPr>
    </w:p>
    <w:sectPr w:rsidR="009540C0" w:rsidRPr="00DC500C" w:rsidSect="009566A0">
      <w:headerReference w:type="default" r:id="rId8"/>
      <w:footerReference w:type="default" r:id="rId9"/>
      <w:pgSz w:w="11906" w:h="16838"/>
      <w:pgMar w:top="1134" w:right="1134" w:bottom="993" w:left="1134" w:header="426" w:footer="1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0E831" w14:textId="77777777" w:rsidR="001437C2" w:rsidRDefault="001437C2">
      <w:r>
        <w:separator/>
      </w:r>
    </w:p>
  </w:endnote>
  <w:endnote w:type="continuationSeparator" w:id="0">
    <w:p w14:paraId="79E85B48" w14:textId="77777777" w:rsidR="001437C2" w:rsidRDefault="00143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Eurobank Sans">
    <w:altName w:val="Calibri"/>
    <w:charset w:val="A1"/>
    <w:family w:val="auto"/>
    <w:pitch w:val="variable"/>
    <w:sig w:usb0="A00002BF" w:usb1="5000000A"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6330782"/>
      <w:docPartObj>
        <w:docPartGallery w:val="Page Numbers (Bottom of Page)"/>
        <w:docPartUnique/>
      </w:docPartObj>
    </w:sdtPr>
    <w:sdtEndPr>
      <w:rPr>
        <w:noProof/>
      </w:rPr>
    </w:sdtEndPr>
    <w:sdtContent>
      <w:p w14:paraId="78752EF3" w14:textId="235A709E" w:rsidR="001F5985" w:rsidRDefault="001F5985">
        <w:pPr>
          <w:pStyle w:val="a4"/>
          <w:jc w:val="center"/>
        </w:pPr>
        <w:r>
          <w:fldChar w:fldCharType="begin"/>
        </w:r>
        <w:r>
          <w:instrText xml:space="preserve"> PAGE   \* MERGEFORMAT </w:instrText>
        </w:r>
        <w:r>
          <w:fldChar w:fldCharType="separate"/>
        </w:r>
        <w:r w:rsidR="00EB7E11">
          <w:rPr>
            <w:noProof/>
          </w:rPr>
          <w:t>1</w:t>
        </w:r>
        <w:r>
          <w:rPr>
            <w:noProof/>
          </w:rPr>
          <w:fldChar w:fldCharType="end"/>
        </w:r>
      </w:p>
    </w:sdtContent>
  </w:sdt>
  <w:p w14:paraId="29CC85F2" w14:textId="77777777" w:rsidR="009540C0" w:rsidRDefault="009540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A5739" w14:textId="77777777" w:rsidR="001437C2" w:rsidRDefault="001437C2">
      <w:r>
        <w:separator/>
      </w:r>
    </w:p>
  </w:footnote>
  <w:footnote w:type="continuationSeparator" w:id="0">
    <w:p w14:paraId="12CA102E" w14:textId="77777777" w:rsidR="001437C2" w:rsidRDefault="00143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b"/>
      <w:tblW w:w="11346"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636"/>
      <w:gridCol w:w="3061"/>
      <w:gridCol w:w="2530"/>
    </w:tblGrid>
    <w:tr w:rsidR="00DC500C" w14:paraId="7434CE6A" w14:textId="77777777" w:rsidTr="00E8339C">
      <w:tc>
        <w:tcPr>
          <w:tcW w:w="3119" w:type="dxa"/>
        </w:tcPr>
        <w:p w14:paraId="250BB489" w14:textId="77777777" w:rsidR="00DC500C" w:rsidRPr="00DC500C" w:rsidRDefault="00DC500C" w:rsidP="00DC500C">
          <w:pPr>
            <w:pStyle w:val="a3"/>
            <w:pBdr>
              <w:top w:val="none" w:sz="0" w:space="0" w:color="auto"/>
              <w:left w:val="none" w:sz="0" w:space="0" w:color="auto"/>
              <w:bottom w:val="none" w:sz="0" w:space="0" w:color="auto"/>
              <w:right w:val="none" w:sz="0" w:space="0" w:color="auto"/>
              <w:between w:val="none" w:sz="0" w:space="0" w:color="auto"/>
              <w:bar w:val="none" w:sz="0" w:color="auto"/>
            </w:pBdr>
            <w:ind w:left="-114"/>
            <w:rPr>
              <w:sz w:val="18"/>
              <w:szCs w:val="18"/>
            </w:rPr>
          </w:pPr>
        </w:p>
        <w:p w14:paraId="6C8BB3B6" w14:textId="31C9E6BA" w:rsidR="00DC500C" w:rsidRPr="00DC500C" w:rsidRDefault="00DC500C" w:rsidP="00DC500C">
          <w:pPr>
            <w:pStyle w:val="a3"/>
            <w:pBdr>
              <w:top w:val="none" w:sz="0" w:space="0" w:color="auto"/>
              <w:left w:val="none" w:sz="0" w:space="0" w:color="auto"/>
              <w:bottom w:val="none" w:sz="0" w:space="0" w:color="auto"/>
              <w:right w:val="none" w:sz="0" w:space="0" w:color="auto"/>
              <w:between w:val="none" w:sz="0" w:space="0" w:color="auto"/>
              <w:bar w:val="none" w:sz="0" w:color="auto"/>
            </w:pBdr>
            <w:ind w:left="-114"/>
            <w:rPr>
              <w:sz w:val="28"/>
              <w:szCs w:val="28"/>
            </w:rPr>
          </w:pPr>
        </w:p>
        <w:p w14:paraId="2520513C" w14:textId="4D19A996" w:rsidR="00DC500C" w:rsidRDefault="00DC500C" w:rsidP="00DC500C">
          <w:pPr>
            <w:pStyle w:val="a3"/>
            <w:pBdr>
              <w:top w:val="none" w:sz="0" w:space="0" w:color="auto"/>
              <w:left w:val="none" w:sz="0" w:space="0" w:color="auto"/>
              <w:bottom w:val="none" w:sz="0" w:space="0" w:color="auto"/>
              <w:right w:val="none" w:sz="0" w:space="0" w:color="auto"/>
              <w:between w:val="none" w:sz="0" w:space="0" w:color="auto"/>
              <w:bar w:val="none" w:sz="0" w:color="auto"/>
            </w:pBdr>
            <w:ind w:left="-114"/>
          </w:pPr>
          <w:r>
            <w:rPr>
              <w:noProof/>
            </w:rPr>
            <w:drawing>
              <wp:inline distT="0" distB="0" distL="0" distR="0" wp14:anchorId="1A29FC95" wp14:editId="07E6A37A">
                <wp:extent cx="1697126" cy="358619"/>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2174" cy="366025"/>
                        </a:xfrm>
                        <a:prstGeom prst="rect">
                          <a:avLst/>
                        </a:prstGeom>
                        <a:noFill/>
                        <a:ln>
                          <a:noFill/>
                        </a:ln>
                      </pic:spPr>
                    </pic:pic>
                  </a:graphicData>
                </a:graphic>
              </wp:inline>
            </w:drawing>
          </w:r>
        </w:p>
      </w:tc>
      <w:tc>
        <w:tcPr>
          <w:tcW w:w="2636" w:type="dxa"/>
        </w:tcPr>
        <w:p w14:paraId="733EFDF5" w14:textId="77777777" w:rsidR="00DC500C" w:rsidRDefault="00DC500C">
          <w:pPr>
            <w:pStyle w:val="a3"/>
            <w:pBdr>
              <w:top w:val="none" w:sz="0" w:space="0" w:color="auto"/>
              <w:left w:val="none" w:sz="0" w:space="0" w:color="auto"/>
              <w:bottom w:val="none" w:sz="0" w:space="0" w:color="auto"/>
              <w:right w:val="none" w:sz="0" w:space="0" w:color="auto"/>
              <w:between w:val="none" w:sz="0" w:space="0" w:color="auto"/>
              <w:bar w:val="none" w:sz="0" w:color="auto"/>
            </w:pBdr>
          </w:pPr>
        </w:p>
        <w:p w14:paraId="63D94010" w14:textId="7C3E0B28" w:rsidR="00DC500C" w:rsidRDefault="00DC500C" w:rsidP="00DC500C">
          <w:pPr>
            <w:pStyle w:val="a3"/>
            <w:pBdr>
              <w:top w:val="none" w:sz="0" w:space="0" w:color="auto"/>
              <w:left w:val="none" w:sz="0" w:space="0" w:color="auto"/>
              <w:bottom w:val="none" w:sz="0" w:space="0" w:color="auto"/>
              <w:right w:val="none" w:sz="0" w:space="0" w:color="auto"/>
              <w:between w:val="none" w:sz="0" w:space="0" w:color="auto"/>
              <w:bar w:val="none" w:sz="0" w:color="auto"/>
            </w:pBdr>
            <w:jc w:val="center"/>
          </w:pPr>
          <w:r>
            <w:rPr>
              <w:noProof/>
            </w:rPr>
            <w:drawing>
              <wp:inline distT="0" distB="0" distL="0" distR="0" wp14:anchorId="60A3C332" wp14:editId="12D176AD">
                <wp:extent cx="1309421" cy="679347"/>
                <wp:effectExtent l="0" t="0" r="508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4423" cy="687130"/>
                        </a:xfrm>
                        <a:prstGeom prst="rect">
                          <a:avLst/>
                        </a:prstGeom>
                        <a:noFill/>
                        <a:ln>
                          <a:noFill/>
                        </a:ln>
                      </pic:spPr>
                    </pic:pic>
                  </a:graphicData>
                </a:graphic>
              </wp:inline>
            </w:drawing>
          </w:r>
        </w:p>
      </w:tc>
      <w:tc>
        <w:tcPr>
          <w:tcW w:w="3061" w:type="dxa"/>
        </w:tcPr>
        <w:p w14:paraId="207B9AC7" w14:textId="798487D1" w:rsidR="00DC500C" w:rsidRDefault="00DC500C" w:rsidP="00DC500C">
          <w:pPr>
            <w:pStyle w:val="a3"/>
            <w:pBdr>
              <w:top w:val="none" w:sz="0" w:space="0" w:color="auto"/>
              <w:left w:val="none" w:sz="0" w:space="0" w:color="auto"/>
              <w:bottom w:val="none" w:sz="0" w:space="0" w:color="auto"/>
              <w:right w:val="none" w:sz="0" w:space="0" w:color="auto"/>
              <w:between w:val="none" w:sz="0" w:space="0" w:color="auto"/>
              <w:bar w:val="none" w:sz="0" w:color="auto"/>
            </w:pBdr>
            <w:jc w:val="center"/>
          </w:pPr>
          <w:r w:rsidRPr="00D01521">
            <w:rPr>
              <w:noProof/>
              <w:color w:val="021342"/>
              <w:lang w:eastAsia="el-GR"/>
            </w:rPr>
            <w:drawing>
              <wp:anchor distT="0" distB="0" distL="114300" distR="114300" simplePos="0" relativeHeight="251659264" behindDoc="1" locked="0" layoutInCell="1" allowOverlap="1" wp14:anchorId="6C5B56E8" wp14:editId="6BEA5804">
                <wp:simplePos x="0" y="0"/>
                <wp:positionH relativeFrom="page">
                  <wp:posOffset>127000</wp:posOffset>
                </wp:positionH>
                <wp:positionV relativeFrom="paragraph">
                  <wp:posOffset>326390</wp:posOffset>
                </wp:positionV>
                <wp:extent cx="1718945" cy="299720"/>
                <wp:effectExtent l="0" t="0" r="0" b="508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no logo"/>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7147" t="37597" r="65265" b="39237"/>
                        <a:stretch/>
                      </pic:blipFill>
                      <pic:spPr bwMode="auto">
                        <a:xfrm>
                          <a:off x="0" y="0"/>
                          <a:ext cx="1718945" cy="299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530" w:type="dxa"/>
        </w:tcPr>
        <w:p w14:paraId="40ED8C86" w14:textId="12C272EA" w:rsidR="00DC500C" w:rsidRDefault="00DC500C" w:rsidP="00DC500C">
          <w:pPr>
            <w:pStyle w:val="a3"/>
            <w:pBdr>
              <w:top w:val="none" w:sz="0" w:space="0" w:color="auto"/>
              <w:left w:val="none" w:sz="0" w:space="0" w:color="auto"/>
              <w:bottom w:val="none" w:sz="0" w:space="0" w:color="auto"/>
              <w:right w:val="none" w:sz="0" w:space="0" w:color="auto"/>
              <w:between w:val="none" w:sz="0" w:space="0" w:color="auto"/>
              <w:bar w:val="none" w:sz="0" w:color="auto"/>
            </w:pBdr>
            <w:jc w:val="center"/>
          </w:pPr>
          <w:r>
            <w:rPr>
              <w:noProof/>
            </w:rPr>
            <w:drawing>
              <wp:inline distT="0" distB="0" distL="0" distR="0" wp14:anchorId="48BF44D0" wp14:editId="0E05335C">
                <wp:extent cx="1077132" cy="1050860"/>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8049" cy="1061511"/>
                        </a:xfrm>
                        <a:prstGeom prst="rect">
                          <a:avLst/>
                        </a:prstGeom>
                        <a:noFill/>
                        <a:ln>
                          <a:noFill/>
                        </a:ln>
                      </pic:spPr>
                    </pic:pic>
                  </a:graphicData>
                </a:graphic>
              </wp:inline>
            </w:drawing>
          </w:r>
        </w:p>
      </w:tc>
    </w:tr>
  </w:tbl>
  <w:p w14:paraId="00F8B8BB" w14:textId="77777777" w:rsidR="00DC500C" w:rsidRDefault="00DC500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536C3"/>
    <w:multiLevelType w:val="hybridMultilevel"/>
    <w:tmpl w:val="D806FF20"/>
    <w:lvl w:ilvl="0" w:tplc="04080009">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 w15:restartNumberingAfterBreak="0">
    <w:nsid w:val="1CFC2EB7"/>
    <w:multiLevelType w:val="hybridMultilevel"/>
    <w:tmpl w:val="706C37E0"/>
    <w:lvl w:ilvl="0" w:tplc="FFFFFFFF">
      <w:numFmt w:val="bullet"/>
      <w:lvlText w:val=""/>
      <w:lvlJc w:val="left"/>
      <w:pPr>
        <w:ind w:left="720" w:hanging="360"/>
      </w:pPr>
      <w:rPr>
        <w:rFonts w:ascii="Symbol" w:eastAsia="Arial Unicode MS" w:hAnsi="Symbol" w:cs="Arial Unicode M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2B2C7C"/>
    <w:multiLevelType w:val="hybridMultilevel"/>
    <w:tmpl w:val="FEBC2E0C"/>
    <w:lvl w:ilvl="0" w:tplc="CAA8067E">
      <w:start w:val="1"/>
      <w:numFmt w:val="bullet"/>
      <w:lvlText w:val=""/>
      <w:lvlJc w:val="left"/>
      <w:pPr>
        <w:ind w:left="720" w:hanging="360"/>
      </w:pPr>
      <w:rPr>
        <w:rFonts w:ascii="Wingdings" w:hAnsi="Wingdings" w:hint="default"/>
        <w:b/>
        <w:bCs/>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D6661C6"/>
    <w:multiLevelType w:val="hybridMultilevel"/>
    <w:tmpl w:val="BD56170A"/>
    <w:lvl w:ilvl="0" w:tplc="04080009">
      <w:start w:val="1"/>
      <w:numFmt w:val="bullet"/>
      <w:lvlText w:val=""/>
      <w:lvlJc w:val="left"/>
      <w:pPr>
        <w:ind w:left="1003" w:hanging="360"/>
      </w:pPr>
      <w:rPr>
        <w:rFonts w:ascii="Wingdings" w:hAnsi="Wingdings" w:hint="default"/>
      </w:rPr>
    </w:lvl>
    <w:lvl w:ilvl="1" w:tplc="04080003" w:tentative="1">
      <w:start w:val="1"/>
      <w:numFmt w:val="bullet"/>
      <w:lvlText w:val="o"/>
      <w:lvlJc w:val="left"/>
      <w:pPr>
        <w:ind w:left="1723" w:hanging="360"/>
      </w:pPr>
      <w:rPr>
        <w:rFonts w:ascii="Courier New" w:hAnsi="Courier New" w:cs="Courier New" w:hint="default"/>
      </w:rPr>
    </w:lvl>
    <w:lvl w:ilvl="2" w:tplc="04080005" w:tentative="1">
      <w:start w:val="1"/>
      <w:numFmt w:val="bullet"/>
      <w:lvlText w:val=""/>
      <w:lvlJc w:val="left"/>
      <w:pPr>
        <w:ind w:left="2443" w:hanging="360"/>
      </w:pPr>
      <w:rPr>
        <w:rFonts w:ascii="Wingdings" w:hAnsi="Wingdings" w:hint="default"/>
      </w:rPr>
    </w:lvl>
    <w:lvl w:ilvl="3" w:tplc="04080001" w:tentative="1">
      <w:start w:val="1"/>
      <w:numFmt w:val="bullet"/>
      <w:lvlText w:val=""/>
      <w:lvlJc w:val="left"/>
      <w:pPr>
        <w:ind w:left="3163" w:hanging="360"/>
      </w:pPr>
      <w:rPr>
        <w:rFonts w:ascii="Symbol" w:hAnsi="Symbol" w:hint="default"/>
      </w:rPr>
    </w:lvl>
    <w:lvl w:ilvl="4" w:tplc="04080003" w:tentative="1">
      <w:start w:val="1"/>
      <w:numFmt w:val="bullet"/>
      <w:lvlText w:val="o"/>
      <w:lvlJc w:val="left"/>
      <w:pPr>
        <w:ind w:left="3883" w:hanging="360"/>
      </w:pPr>
      <w:rPr>
        <w:rFonts w:ascii="Courier New" w:hAnsi="Courier New" w:cs="Courier New" w:hint="default"/>
      </w:rPr>
    </w:lvl>
    <w:lvl w:ilvl="5" w:tplc="04080005" w:tentative="1">
      <w:start w:val="1"/>
      <w:numFmt w:val="bullet"/>
      <w:lvlText w:val=""/>
      <w:lvlJc w:val="left"/>
      <w:pPr>
        <w:ind w:left="4603" w:hanging="360"/>
      </w:pPr>
      <w:rPr>
        <w:rFonts w:ascii="Wingdings" w:hAnsi="Wingdings" w:hint="default"/>
      </w:rPr>
    </w:lvl>
    <w:lvl w:ilvl="6" w:tplc="04080001" w:tentative="1">
      <w:start w:val="1"/>
      <w:numFmt w:val="bullet"/>
      <w:lvlText w:val=""/>
      <w:lvlJc w:val="left"/>
      <w:pPr>
        <w:ind w:left="5323" w:hanging="360"/>
      </w:pPr>
      <w:rPr>
        <w:rFonts w:ascii="Symbol" w:hAnsi="Symbol" w:hint="default"/>
      </w:rPr>
    </w:lvl>
    <w:lvl w:ilvl="7" w:tplc="04080003" w:tentative="1">
      <w:start w:val="1"/>
      <w:numFmt w:val="bullet"/>
      <w:lvlText w:val="o"/>
      <w:lvlJc w:val="left"/>
      <w:pPr>
        <w:ind w:left="6043" w:hanging="360"/>
      </w:pPr>
      <w:rPr>
        <w:rFonts w:ascii="Courier New" w:hAnsi="Courier New" w:cs="Courier New" w:hint="default"/>
      </w:rPr>
    </w:lvl>
    <w:lvl w:ilvl="8" w:tplc="04080005" w:tentative="1">
      <w:start w:val="1"/>
      <w:numFmt w:val="bullet"/>
      <w:lvlText w:val=""/>
      <w:lvlJc w:val="left"/>
      <w:pPr>
        <w:ind w:left="6763" w:hanging="360"/>
      </w:pPr>
      <w:rPr>
        <w:rFonts w:ascii="Wingdings" w:hAnsi="Wingdings" w:hint="default"/>
      </w:rPr>
    </w:lvl>
  </w:abstractNum>
  <w:abstractNum w:abstractNumId="4" w15:restartNumberingAfterBreak="0">
    <w:nsid w:val="3A32620D"/>
    <w:multiLevelType w:val="hybridMultilevel"/>
    <w:tmpl w:val="8C46DF96"/>
    <w:lvl w:ilvl="0" w:tplc="FFFFFFFF">
      <w:numFmt w:val="bullet"/>
      <w:lvlText w:val=""/>
      <w:lvlJc w:val="left"/>
      <w:pPr>
        <w:ind w:left="720" w:hanging="360"/>
      </w:pPr>
      <w:rPr>
        <w:rFonts w:ascii="Symbol" w:eastAsia="Arial Unicode MS" w:hAnsi="Symbol" w:cs="Arial Unicode M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B826B3"/>
    <w:multiLevelType w:val="hybridMultilevel"/>
    <w:tmpl w:val="BC3CCA5C"/>
    <w:styleLink w:val="Bullet"/>
    <w:lvl w:ilvl="0" w:tplc="D3CA9BC4">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38D841B4">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1F24313C">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2C3EBC6A">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C306788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F5F42D3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8F902956">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4DC26BEE">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F2C875F6">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6" w15:restartNumberingAfterBreak="0">
    <w:nsid w:val="4B6E765A"/>
    <w:multiLevelType w:val="hybridMultilevel"/>
    <w:tmpl w:val="179ADB12"/>
    <w:lvl w:ilvl="0" w:tplc="D2B893EC">
      <w:start w:val="1"/>
      <w:numFmt w:val="bullet"/>
      <w:lvlText w:val=""/>
      <w:lvlJc w:val="left"/>
      <w:pPr>
        <w:ind w:left="720" w:hanging="360"/>
      </w:pPr>
      <w:rPr>
        <w:rFonts w:ascii="Wingdings" w:hAnsi="Wingdings" w:hint="default"/>
        <w:b/>
        <w:bCs/>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BDA30FB"/>
    <w:multiLevelType w:val="hybridMultilevel"/>
    <w:tmpl w:val="8AD0CFF0"/>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AA373E8"/>
    <w:multiLevelType w:val="hybridMultilevel"/>
    <w:tmpl w:val="B6E61D10"/>
    <w:styleLink w:val="ImportedStyle2"/>
    <w:lvl w:ilvl="0" w:tplc="473EA92A">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4EB4CC5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E200A89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924C0B6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D34207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3430A6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45E02D8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41F6D7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97D65D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 w15:restartNumberingAfterBreak="0">
    <w:nsid w:val="5AA420E0"/>
    <w:multiLevelType w:val="hybridMultilevel"/>
    <w:tmpl w:val="023AB3B8"/>
    <w:lvl w:ilvl="0" w:tplc="1B28494A">
      <w:start w:val="1"/>
      <w:numFmt w:val="bullet"/>
      <w:lvlText w:val=""/>
      <w:lvlJc w:val="left"/>
      <w:pPr>
        <w:ind w:left="720" w:hanging="360"/>
      </w:pPr>
      <w:rPr>
        <w:rFonts w:ascii="Wingdings" w:hAnsi="Wingdings" w:hint="default"/>
        <w:b/>
        <w:bCs/>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D717555"/>
    <w:multiLevelType w:val="hybridMultilevel"/>
    <w:tmpl w:val="B6E61D10"/>
    <w:numStyleLink w:val="ImportedStyle2"/>
  </w:abstractNum>
  <w:abstractNum w:abstractNumId="11" w15:restartNumberingAfterBreak="0">
    <w:nsid w:val="5DDE5F2B"/>
    <w:multiLevelType w:val="hybridMultilevel"/>
    <w:tmpl w:val="BC3CCA5C"/>
    <w:numStyleLink w:val="Bullet"/>
  </w:abstractNum>
  <w:num w:numId="1" w16cid:durableId="834422375">
    <w:abstractNumId w:val="5"/>
  </w:num>
  <w:num w:numId="2" w16cid:durableId="1167523993">
    <w:abstractNumId w:val="11"/>
  </w:num>
  <w:num w:numId="3" w16cid:durableId="1425686245">
    <w:abstractNumId w:val="11"/>
    <w:lvlOverride w:ilvl="0">
      <w:lvl w:ilvl="0" w:tplc="9A44A336">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9C4E1A8">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95F8F02E">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C2025846">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CBC2834A">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41E679C8">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82BAB14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741017C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4F861C10">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4" w16cid:durableId="2101289026">
    <w:abstractNumId w:val="4"/>
  </w:num>
  <w:num w:numId="5" w16cid:durableId="1042440207">
    <w:abstractNumId w:val="1"/>
  </w:num>
  <w:num w:numId="6" w16cid:durableId="334580319">
    <w:abstractNumId w:val="7"/>
  </w:num>
  <w:num w:numId="7" w16cid:durableId="1130048162">
    <w:abstractNumId w:val="10"/>
  </w:num>
  <w:num w:numId="8" w16cid:durableId="1643346558">
    <w:abstractNumId w:val="8"/>
  </w:num>
  <w:num w:numId="9" w16cid:durableId="1792241453">
    <w:abstractNumId w:val="9"/>
  </w:num>
  <w:num w:numId="10" w16cid:durableId="1962228172">
    <w:abstractNumId w:val="6"/>
  </w:num>
  <w:num w:numId="11" w16cid:durableId="1972664524">
    <w:abstractNumId w:val="2"/>
  </w:num>
  <w:num w:numId="12" w16cid:durableId="891623093">
    <w:abstractNumId w:val="0"/>
  </w:num>
  <w:num w:numId="13" w16cid:durableId="1895577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displayBackgroundShape/>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0C0"/>
    <w:rsid w:val="000774B9"/>
    <w:rsid w:val="000B01D2"/>
    <w:rsid w:val="000B2D72"/>
    <w:rsid w:val="000D609E"/>
    <w:rsid w:val="000D79D4"/>
    <w:rsid w:val="000F7BD0"/>
    <w:rsid w:val="0013301E"/>
    <w:rsid w:val="00137D84"/>
    <w:rsid w:val="001437C2"/>
    <w:rsid w:val="00182DCB"/>
    <w:rsid w:val="001A4601"/>
    <w:rsid w:val="001A5651"/>
    <w:rsid w:val="001B0047"/>
    <w:rsid w:val="001C1BC9"/>
    <w:rsid w:val="001E7E01"/>
    <w:rsid w:val="001F06B5"/>
    <w:rsid w:val="001F5985"/>
    <w:rsid w:val="0020305C"/>
    <w:rsid w:val="002236B3"/>
    <w:rsid w:val="002720F4"/>
    <w:rsid w:val="002738FF"/>
    <w:rsid w:val="00273F05"/>
    <w:rsid w:val="002D0093"/>
    <w:rsid w:val="002E2602"/>
    <w:rsid w:val="003046C2"/>
    <w:rsid w:val="003625FC"/>
    <w:rsid w:val="00373528"/>
    <w:rsid w:val="00382A48"/>
    <w:rsid w:val="003902E3"/>
    <w:rsid w:val="003F5ECA"/>
    <w:rsid w:val="003F6A5E"/>
    <w:rsid w:val="00407FC7"/>
    <w:rsid w:val="00412DA3"/>
    <w:rsid w:val="00423D03"/>
    <w:rsid w:val="00431DAC"/>
    <w:rsid w:val="00460E4B"/>
    <w:rsid w:val="00474E74"/>
    <w:rsid w:val="004A6262"/>
    <w:rsid w:val="004D360D"/>
    <w:rsid w:val="004F7920"/>
    <w:rsid w:val="00522D2A"/>
    <w:rsid w:val="005253BF"/>
    <w:rsid w:val="00530B93"/>
    <w:rsid w:val="0053611B"/>
    <w:rsid w:val="00554CA0"/>
    <w:rsid w:val="00561812"/>
    <w:rsid w:val="00572D85"/>
    <w:rsid w:val="00576952"/>
    <w:rsid w:val="005938C1"/>
    <w:rsid w:val="005A3865"/>
    <w:rsid w:val="005D74CC"/>
    <w:rsid w:val="005F2EDF"/>
    <w:rsid w:val="005F709C"/>
    <w:rsid w:val="00601893"/>
    <w:rsid w:val="0060706D"/>
    <w:rsid w:val="00610D0F"/>
    <w:rsid w:val="00612A01"/>
    <w:rsid w:val="006302BD"/>
    <w:rsid w:val="006309B5"/>
    <w:rsid w:val="0064029C"/>
    <w:rsid w:val="00645DC2"/>
    <w:rsid w:val="00651B83"/>
    <w:rsid w:val="00651F35"/>
    <w:rsid w:val="00681D23"/>
    <w:rsid w:val="006A55BF"/>
    <w:rsid w:val="006A759D"/>
    <w:rsid w:val="00704B56"/>
    <w:rsid w:val="00705FD4"/>
    <w:rsid w:val="007374FB"/>
    <w:rsid w:val="00747BFE"/>
    <w:rsid w:val="00791F4D"/>
    <w:rsid w:val="007A0E82"/>
    <w:rsid w:val="007A699C"/>
    <w:rsid w:val="007B17CD"/>
    <w:rsid w:val="0080011E"/>
    <w:rsid w:val="00815B55"/>
    <w:rsid w:val="008323BA"/>
    <w:rsid w:val="0083301A"/>
    <w:rsid w:val="00834F75"/>
    <w:rsid w:val="00853FEC"/>
    <w:rsid w:val="0085558C"/>
    <w:rsid w:val="00877B57"/>
    <w:rsid w:val="00886E04"/>
    <w:rsid w:val="0089734C"/>
    <w:rsid w:val="008A06B1"/>
    <w:rsid w:val="008A5846"/>
    <w:rsid w:val="008B4A9C"/>
    <w:rsid w:val="008B54B8"/>
    <w:rsid w:val="008B5653"/>
    <w:rsid w:val="008B6ADD"/>
    <w:rsid w:val="008C1006"/>
    <w:rsid w:val="008C1225"/>
    <w:rsid w:val="008C2E66"/>
    <w:rsid w:val="008C534A"/>
    <w:rsid w:val="008C7543"/>
    <w:rsid w:val="008C7788"/>
    <w:rsid w:val="008D1BB5"/>
    <w:rsid w:val="008D4E25"/>
    <w:rsid w:val="008E1745"/>
    <w:rsid w:val="008E6598"/>
    <w:rsid w:val="008F1EA8"/>
    <w:rsid w:val="00910D96"/>
    <w:rsid w:val="00923D14"/>
    <w:rsid w:val="009309EF"/>
    <w:rsid w:val="00941F35"/>
    <w:rsid w:val="0095200D"/>
    <w:rsid w:val="009540C0"/>
    <w:rsid w:val="009566A0"/>
    <w:rsid w:val="0095716F"/>
    <w:rsid w:val="00960629"/>
    <w:rsid w:val="009727C1"/>
    <w:rsid w:val="00993E49"/>
    <w:rsid w:val="009B7413"/>
    <w:rsid w:val="009C0E2C"/>
    <w:rsid w:val="009D0D69"/>
    <w:rsid w:val="009E0623"/>
    <w:rsid w:val="009E088A"/>
    <w:rsid w:val="009E10EC"/>
    <w:rsid w:val="009E4A8B"/>
    <w:rsid w:val="00A00161"/>
    <w:rsid w:val="00A164C9"/>
    <w:rsid w:val="00A22C6E"/>
    <w:rsid w:val="00A27749"/>
    <w:rsid w:val="00A53741"/>
    <w:rsid w:val="00A630F8"/>
    <w:rsid w:val="00A64D08"/>
    <w:rsid w:val="00A73321"/>
    <w:rsid w:val="00A91C91"/>
    <w:rsid w:val="00A95B8B"/>
    <w:rsid w:val="00AA2282"/>
    <w:rsid w:val="00AB38A6"/>
    <w:rsid w:val="00AB7F21"/>
    <w:rsid w:val="00AC1B39"/>
    <w:rsid w:val="00AD6700"/>
    <w:rsid w:val="00B126BC"/>
    <w:rsid w:val="00B27192"/>
    <w:rsid w:val="00B47F2E"/>
    <w:rsid w:val="00B563AD"/>
    <w:rsid w:val="00B80408"/>
    <w:rsid w:val="00B85153"/>
    <w:rsid w:val="00BA0EE8"/>
    <w:rsid w:val="00BD2791"/>
    <w:rsid w:val="00BE063D"/>
    <w:rsid w:val="00BE539E"/>
    <w:rsid w:val="00BF3AF4"/>
    <w:rsid w:val="00C119C8"/>
    <w:rsid w:val="00C13CA4"/>
    <w:rsid w:val="00C2188A"/>
    <w:rsid w:val="00C231EC"/>
    <w:rsid w:val="00C25061"/>
    <w:rsid w:val="00C5461C"/>
    <w:rsid w:val="00C56D6F"/>
    <w:rsid w:val="00C85E52"/>
    <w:rsid w:val="00CA08B7"/>
    <w:rsid w:val="00CB1F61"/>
    <w:rsid w:val="00CC2615"/>
    <w:rsid w:val="00CE4D3F"/>
    <w:rsid w:val="00CF5B0F"/>
    <w:rsid w:val="00D11153"/>
    <w:rsid w:val="00D12A18"/>
    <w:rsid w:val="00D22C24"/>
    <w:rsid w:val="00D337E5"/>
    <w:rsid w:val="00D420C5"/>
    <w:rsid w:val="00D7506B"/>
    <w:rsid w:val="00D95B63"/>
    <w:rsid w:val="00DA6CBF"/>
    <w:rsid w:val="00DC500C"/>
    <w:rsid w:val="00DD318E"/>
    <w:rsid w:val="00DD3FCD"/>
    <w:rsid w:val="00DF2CF6"/>
    <w:rsid w:val="00DF524B"/>
    <w:rsid w:val="00E236AF"/>
    <w:rsid w:val="00E279DF"/>
    <w:rsid w:val="00E35E2A"/>
    <w:rsid w:val="00E4009E"/>
    <w:rsid w:val="00E607AC"/>
    <w:rsid w:val="00E8339C"/>
    <w:rsid w:val="00EB793B"/>
    <w:rsid w:val="00EB7E11"/>
    <w:rsid w:val="00EC6C22"/>
    <w:rsid w:val="00EE1182"/>
    <w:rsid w:val="00F17BEC"/>
    <w:rsid w:val="00F21A01"/>
    <w:rsid w:val="00F25A41"/>
    <w:rsid w:val="00F402C1"/>
    <w:rsid w:val="00F45B74"/>
    <w:rsid w:val="00F54CD2"/>
    <w:rsid w:val="00F72707"/>
    <w:rsid w:val="00F964F4"/>
    <w:rsid w:val="00FA20B8"/>
    <w:rsid w:val="00FB61E3"/>
    <w:rsid w:val="00FD7A09"/>
    <w:rsid w:val="00FD7F84"/>
    <w:rsid w:val="00FE29CF"/>
    <w:rsid w:val="00FE35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13FA1"/>
  <w15:docId w15:val="{A538DF40-5AD7-4F1F-888F-7B241578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Bullet">
    <w:name w:val="Bullet"/>
    <w:pPr>
      <w:numPr>
        <w:numId w:val="1"/>
      </w:numPr>
    </w:pPr>
  </w:style>
  <w:style w:type="paragraph" w:styleId="a3">
    <w:name w:val="header"/>
    <w:basedOn w:val="a"/>
    <w:link w:val="Char"/>
    <w:uiPriority w:val="99"/>
    <w:unhideWhenUsed/>
    <w:rsid w:val="001F5985"/>
    <w:pPr>
      <w:tabs>
        <w:tab w:val="center" w:pos="4153"/>
        <w:tab w:val="right" w:pos="8306"/>
      </w:tabs>
    </w:pPr>
  </w:style>
  <w:style w:type="character" w:customStyle="1" w:styleId="Char">
    <w:name w:val="Κεφαλίδα Char"/>
    <w:basedOn w:val="a0"/>
    <w:link w:val="a3"/>
    <w:uiPriority w:val="99"/>
    <w:rsid w:val="001F5985"/>
    <w:rPr>
      <w:sz w:val="24"/>
      <w:szCs w:val="24"/>
      <w:lang w:val="en-US" w:eastAsia="en-US"/>
    </w:rPr>
  </w:style>
  <w:style w:type="paragraph" w:styleId="a4">
    <w:name w:val="footer"/>
    <w:basedOn w:val="a"/>
    <w:link w:val="Char0"/>
    <w:uiPriority w:val="99"/>
    <w:unhideWhenUsed/>
    <w:rsid w:val="001F5985"/>
    <w:pPr>
      <w:tabs>
        <w:tab w:val="center" w:pos="4153"/>
        <w:tab w:val="right" w:pos="8306"/>
      </w:tabs>
    </w:pPr>
  </w:style>
  <w:style w:type="character" w:customStyle="1" w:styleId="Char0">
    <w:name w:val="Υποσέλιδο Char"/>
    <w:basedOn w:val="a0"/>
    <w:link w:val="a4"/>
    <w:uiPriority w:val="99"/>
    <w:rsid w:val="001F5985"/>
    <w:rPr>
      <w:sz w:val="24"/>
      <w:szCs w:val="24"/>
      <w:lang w:val="en-US" w:eastAsia="en-US"/>
    </w:rPr>
  </w:style>
  <w:style w:type="character" w:styleId="a5">
    <w:name w:val="annotation reference"/>
    <w:basedOn w:val="a0"/>
    <w:uiPriority w:val="99"/>
    <w:semiHidden/>
    <w:unhideWhenUsed/>
    <w:rsid w:val="00BD2791"/>
    <w:rPr>
      <w:sz w:val="16"/>
      <w:szCs w:val="16"/>
    </w:rPr>
  </w:style>
  <w:style w:type="paragraph" w:styleId="a6">
    <w:name w:val="annotation text"/>
    <w:basedOn w:val="a"/>
    <w:link w:val="Char1"/>
    <w:uiPriority w:val="99"/>
    <w:semiHidden/>
    <w:unhideWhenUsed/>
    <w:rsid w:val="00BD2791"/>
    <w:rPr>
      <w:sz w:val="20"/>
      <w:szCs w:val="20"/>
    </w:rPr>
  </w:style>
  <w:style w:type="character" w:customStyle="1" w:styleId="Char1">
    <w:name w:val="Κείμενο σχολίου Char"/>
    <w:basedOn w:val="a0"/>
    <w:link w:val="a6"/>
    <w:uiPriority w:val="99"/>
    <w:semiHidden/>
    <w:rsid w:val="00BD2791"/>
    <w:rPr>
      <w:lang w:val="en-US" w:eastAsia="en-US"/>
    </w:rPr>
  </w:style>
  <w:style w:type="paragraph" w:styleId="a7">
    <w:name w:val="annotation subject"/>
    <w:basedOn w:val="a6"/>
    <w:next w:val="a6"/>
    <w:link w:val="Char2"/>
    <w:uiPriority w:val="99"/>
    <w:semiHidden/>
    <w:unhideWhenUsed/>
    <w:rsid w:val="00BD2791"/>
    <w:rPr>
      <w:b/>
      <w:bCs/>
    </w:rPr>
  </w:style>
  <w:style w:type="character" w:customStyle="1" w:styleId="Char2">
    <w:name w:val="Θέμα σχολίου Char"/>
    <w:basedOn w:val="Char1"/>
    <w:link w:val="a7"/>
    <w:uiPriority w:val="99"/>
    <w:semiHidden/>
    <w:rsid w:val="00BD2791"/>
    <w:rPr>
      <w:b/>
      <w:bCs/>
      <w:lang w:val="en-US" w:eastAsia="en-US"/>
    </w:rPr>
  </w:style>
  <w:style w:type="paragraph" w:styleId="a8">
    <w:name w:val="Revision"/>
    <w:hidden/>
    <w:uiPriority w:val="99"/>
    <w:semiHidden/>
    <w:rsid w:val="00182DC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a9">
    <w:name w:val="List Paragraph"/>
    <w:basedOn w:val="a"/>
    <w:uiPriority w:val="34"/>
    <w:qFormat/>
    <w:rsid w:val="00AA2282"/>
    <w:pPr>
      <w:ind w:left="720"/>
      <w:contextualSpacing/>
    </w:pPr>
  </w:style>
  <w:style w:type="paragraph" w:styleId="aa">
    <w:name w:val="Balloon Text"/>
    <w:basedOn w:val="a"/>
    <w:link w:val="Char3"/>
    <w:uiPriority w:val="99"/>
    <w:semiHidden/>
    <w:unhideWhenUsed/>
    <w:rsid w:val="00EB7E11"/>
    <w:rPr>
      <w:rFonts w:ascii="Segoe UI" w:hAnsi="Segoe UI" w:cs="Segoe UI"/>
      <w:sz w:val="18"/>
      <w:szCs w:val="18"/>
    </w:rPr>
  </w:style>
  <w:style w:type="character" w:customStyle="1" w:styleId="Char3">
    <w:name w:val="Κείμενο πλαισίου Char"/>
    <w:basedOn w:val="a0"/>
    <w:link w:val="aa"/>
    <w:uiPriority w:val="99"/>
    <w:semiHidden/>
    <w:rsid w:val="00EB7E11"/>
    <w:rPr>
      <w:rFonts w:ascii="Segoe UI" w:hAnsi="Segoe UI" w:cs="Segoe UI"/>
      <w:sz w:val="18"/>
      <w:szCs w:val="18"/>
      <w:lang w:val="en-US" w:eastAsia="en-US"/>
    </w:rPr>
  </w:style>
  <w:style w:type="paragraph" w:customStyle="1" w:styleId="BodyA">
    <w:name w:val="Body A"/>
    <w:rsid w:val="005253BF"/>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Neue" w:hAnsi="Helvetica Neue" w:cs="Arial Unicode MS"/>
      <w:color w:val="000000"/>
      <w:sz w:val="22"/>
      <w:szCs w:val="22"/>
      <w:u w:color="000000"/>
      <w:bdr w:val="none" w:sz="0" w:space="0" w:color="auto"/>
      <w14:textOutline w14:w="12700" w14:cap="flat" w14:cmpd="sng" w14:algn="ctr">
        <w14:noFill/>
        <w14:prstDash w14:val="solid"/>
        <w14:miter w14:lim="100000"/>
      </w14:textOutline>
    </w:rPr>
  </w:style>
  <w:style w:type="numbering" w:customStyle="1" w:styleId="ImportedStyle2">
    <w:name w:val="Imported Style 2"/>
    <w:rsid w:val="005253BF"/>
    <w:pPr>
      <w:numPr>
        <w:numId w:val="8"/>
      </w:numPr>
    </w:pPr>
  </w:style>
  <w:style w:type="character" w:customStyle="1" w:styleId="apple-converted-space">
    <w:name w:val="apple-converted-space"/>
    <w:basedOn w:val="a0"/>
    <w:rsid w:val="004A6262"/>
  </w:style>
  <w:style w:type="table" w:styleId="ab">
    <w:name w:val="Table Grid"/>
    <w:basedOn w:val="a1"/>
    <w:uiPriority w:val="39"/>
    <w:rsid w:val="00DC5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247128">
      <w:bodyDiv w:val="1"/>
      <w:marLeft w:val="0"/>
      <w:marRight w:val="0"/>
      <w:marTop w:val="0"/>
      <w:marBottom w:val="0"/>
      <w:divBdr>
        <w:top w:val="none" w:sz="0" w:space="0" w:color="auto"/>
        <w:left w:val="none" w:sz="0" w:space="0" w:color="auto"/>
        <w:bottom w:val="none" w:sz="0" w:space="0" w:color="auto"/>
        <w:right w:val="none" w:sz="0" w:space="0" w:color="auto"/>
      </w:divBdr>
    </w:div>
    <w:div w:id="458032564">
      <w:bodyDiv w:val="1"/>
      <w:marLeft w:val="0"/>
      <w:marRight w:val="0"/>
      <w:marTop w:val="0"/>
      <w:marBottom w:val="0"/>
      <w:divBdr>
        <w:top w:val="none" w:sz="0" w:space="0" w:color="auto"/>
        <w:left w:val="none" w:sz="0" w:space="0" w:color="auto"/>
        <w:bottom w:val="none" w:sz="0" w:space="0" w:color="auto"/>
        <w:right w:val="none" w:sz="0" w:space="0" w:color="auto"/>
      </w:divBdr>
    </w:div>
    <w:div w:id="1137795178">
      <w:bodyDiv w:val="1"/>
      <w:marLeft w:val="0"/>
      <w:marRight w:val="0"/>
      <w:marTop w:val="0"/>
      <w:marBottom w:val="0"/>
      <w:divBdr>
        <w:top w:val="none" w:sz="0" w:space="0" w:color="auto"/>
        <w:left w:val="none" w:sz="0" w:space="0" w:color="auto"/>
        <w:bottom w:val="none" w:sz="0" w:space="0" w:color="auto"/>
        <w:right w:val="none" w:sz="0" w:space="0" w:color="auto"/>
      </w:divBdr>
      <w:divsChild>
        <w:div w:id="234123498">
          <w:marLeft w:val="0"/>
          <w:marRight w:val="0"/>
          <w:marTop w:val="0"/>
          <w:marBottom w:val="0"/>
          <w:divBdr>
            <w:top w:val="none" w:sz="0" w:space="0" w:color="auto"/>
            <w:left w:val="none" w:sz="0" w:space="0" w:color="auto"/>
            <w:bottom w:val="none" w:sz="0" w:space="0" w:color="auto"/>
            <w:right w:val="none" w:sz="0" w:space="0" w:color="auto"/>
          </w:divBdr>
        </w:div>
        <w:div w:id="1658067078">
          <w:marLeft w:val="0"/>
          <w:marRight w:val="0"/>
          <w:marTop w:val="0"/>
          <w:marBottom w:val="0"/>
          <w:divBdr>
            <w:top w:val="none" w:sz="0" w:space="0" w:color="auto"/>
            <w:left w:val="none" w:sz="0" w:space="0" w:color="auto"/>
            <w:bottom w:val="none" w:sz="0" w:space="0" w:color="auto"/>
            <w:right w:val="none" w:sz="0" w:space="0" w:color="auto"/>
          </w:divBdr>
        </w:div>
        <w:div w:id="788668511">
          <w:marLeft w:val="0"/>
          <w:marRight w:val="0"/>
          <w:marTop w:val="0"/>
          <w:marBottom w:val="0"/>
          <w:divBdr>
            <w:top w:val="none" w:sz="0" w:space="0" w:color="auto"/>
            <w:left w:val="none" w:sz="0" w:space="0" w:color="auto"/>
            <w:bottom w:val="none" w:sz="0" w:space="0" w:color="auto"/>
            <w:right w:val="none" w:sz="0" w:space="0" w:color="auto"/>
          </w:divBdr>
          <w:divsChild>
            <w:div w:id="1317490444">
              <w:marLeft w:val="0"/>
              <w:marRight w:val="0"/>
              <w:marTop w:val="0"/>
              <w:marBottom w:val="0"/>
              <w:divBdr>
                <w:top w:val="none" w:sz="0" w:space="0" w:color="auto"/>
                <w:left w:val="none" w:sz="0" w:space="0" w:color="auto"/>
                <w:bottom w:val="none" w:sz="0" w:space="0" w:color="auto"/>
                <w:right w:val="none" w:sz="0" w:space="0" w:color="auto"/>
              </w:divBdr>
            </w:div>
          </w:divsChild>
        </w:div>
        <w:div w:id="1924291589">
          <w:marLeft w:val="0"/>
          <w:marRight w:val="0"/>
          <w:marTop w:val="0"/>
          <w:marBottom w:val="0"/>
          <w:divBdr>
            <w:top w:val="none" w:sz="0" w:space="0" w:color="auto"/>
            <w:left w:val="none" w:sz="0" w:space="0" w:color="auto"/>
            <w:bottom w:val="none" w:sz="0" w:space="0" w:color="auto"/>
            <w:right w:val="none" w:sz="0" w:space="0" w:color="auto"/>
          </w:divBdr>
        </w:div>
        <w:div w:id="13013761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hyperlink" Target="https://www.gov.gr/ipiresies/periousia-kai-phorologia/diakheirise-opheilon/bebaiose-eualotou-opheilete"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3" Type="http://schemas.openxmlformats.org/officeDocument/2006/relationships/image" Target="media/image3.png" /><Relationship Id="rId2" Type="http://schemas.openxmlformats.org/officeDocument/2006/relationships/image" Target="media/image2.jpeg" /><Relationship Id="rId1" Type="http://schemas.openxmlformats.org/officeDocument/2006/relationships/image" Target="media/image1.jpeg" /><Relationship Id="rId4" Type="http://schemas.openxmlformats.org/officeDocument/2006/relationships/image" Target="media/image4.jpeg" /></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1396</Words>
  <Characters>7539</Characters>
  <Application>Microsoft Office Word</Application>
  <DocSecurity>0</DocSecurity>
  <Lines>62</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EuroBank</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Salakas Nikos</dc:creator>
  <cp:lastModifiedBy>Thanasis Kirianakis</cp:lastModifiedBy>
  <cp:revision>2</cp:revision>
  <dcterms:created xsi:type="dcterms:W3CDTF">2023-01-31T19:57:00Z</dcterms:created>
  <dcterms:modified xsi:type="dcterms:W3CDTF">2023-01-31T19:57:00Z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01b1902-750b-4a91-bc26-5d506bf08c58_Enabled">
    <vt:lpwstr>true</vt:lpwstr>
  </property>
  <property fmtid="{D5CDD505-2E9C-101B-9397-08002B2CF9AE}" pid="3" name="MSIP_Label_c01b1902-750b-4a91-bc26-5d506bf08c58_SetDate">
    <vt:lpwstr>2022-12-15T09:34:30Z</vt:lpwstr>
  </property>
  <property fmtid="{D5CDD505-2E9C-101B-9397-08002B2CF9AE}" pid="4" name="MSIP_Label_c01b1902-750b-4a91-bc26-5d506bf08c58_Method">
    <vt:lpwstr>Privileged</vt:lpwstr>
  </property>
  <property fmtid="{D5CDD505-2E9C-101B-9397-08002B2CF9AE}" pid="5" name="MSIP_Label_c01b1902-750b-4a91-bc26-5d506bf08c58_Name">
    <vt:lpwstr>LIMITED DISTRIBUTION</vt:lpwstr>
  </property>
  <property fmtid="{D5CDD505-2E9C-101B-9397-08002B2CF9AE}" pid="6" name="MSIP_Label_c01b1902-750b-4a91-bc26-5d506bf08c58_SiteId">
    <vt:lpwstr>c80515ef-93c1-429d-87e1-d66eb567b009</vt:lpwstr>
  </property>
  <property fmtid="{D5CDD505-2E9C-101B-9397-08002B2CF9AE}" pid="7" name="MSIP_Label_c01b1902-750b-4a91-bc26-5d506bf08c58_ActionId">
    <vt:lpwstr>42478980-308d-4b11-beea-8394d2bab634</vt:lpwstr>
  </property>
  <property fmtid="{D5CDD505-2E9C-101B-9397-08002B2CF9AE}" pid="8" name="MSIP_Label_c01b1902-750b-4a91-bc26-5d506bf08c58_ContentBits">
    <vt:lpwstr>1</vt:lpwstr>
  </property>
</Properties>
</file>